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590D9F54" w:rsidR="005D32F8" w:rsidRDefault="006F25AD" w:rsidP="00A320EA">
      <w:pPr>
        <w:tabs>
          <w:tab w:val="left" w:pos="0"/>
        </w:tabs>
        <w:rPr>
          <w:sz w:val="22"/>
          <w:szCs w:val="22"/>
        </w:rPr>
      </w:pPr>
      <w:r>
        <w:rPr>
          <w:sz w:val="22"/>
          <w:szCs w:val="22"/>
        </w:rPr>
        <w:t>The</w:t>
      </w:r>
      <w:r w:rsidR="00CB69DE">
        <w:rPr>
          <w:sz w:val="22"/>
          <w:szCs w:val="22"/>
        </w:rPr>
        <w:t xml:space="preserve"> November</w:t>
      </w:r>
      <w:r w:rsidR="008E5C0F">
        <w:rPr>
          <w:sz w:val="22"/>
          <w:szCs w:val="22"/>
        </w:rPr>
        <w:t xml:space="preserve"> meeting of the Faculty Senate</w:t>
      </w:r>
      <w:r w:rsidR="001F304E">
        <w:rPr>
          <w:sz w:val="22"/>
          <w:szCs w:val="22"/>
        </w:rPr>
        <w:t xml:space="preserve"> </w:t>
      </w:r>
      <w:r w:rsidR="008E5C0F">
        <w:rPr>
          <w:sz w:val="22"/>
          <w:szCs w:val="22"/>
        </w:rPr>
        <w:t>was held at 3:00</w:t>
      </w:r>
      <w:r w:rsidR="004200CE">
        <w:rPr>
          <w:sz w:val="22"/>
          <w:szCs w:val="22"/>
        </w:rPr>
        <w:t xml:space="preserve"> p.m. on</w:t>
      </w:r>
      <w:r w:rsidR="008E5C0F">
        <w:rPr>
          <w:sz w:val="22"/>
          <w:szCs w:val="22"/>
        </w:rPr>
        <w:t xml:space="preserve"> </w:t>
      </w:r>
      <w:r w:rsidR="00CB69DE">
        <w:rPr>
          <w:sz w:val="22"/>
          <w:szCs w:val="22"/>
        </w:rPr>
        <w:t>Tuesday, November 13</w:t>
      </w:r>
      <w:r w:rsidRPr="000F6A6F">
        <w:rPr>
          <w:sz w:val="22"/>
          <w:szCs w:val="22"/>
        </w:rPr>
        <w:t>,</w:t>
      </w:r>
      <w:r>
        <w:rPr>
          <w:sz w:val="22"/>
          <w:szCs w:val="22"/>
        </w:rPr>
        <w:t xml:space="preserve">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0F6A6F" w:rsidRPr="00D04F96" w14:paraId="31EA9ADF" w14:textId="77777777" w:rsidTr="007B654E">
        <w:tc>
          <w:tcPr>
            <w:tcW w:w="3377" w:type="dxa"/>
            <w:shd w:val="clear" w:color="auto" w:fill="auto"/>
          </w:tcPr>
          <w:p w14:paraId="0039B188" w14:textId="77777777" w:rsidR="000F6A6F" w:rsidRPr="00D04F96" w:rsidRDefault="000F6A6F" w:rsidP="000F6A6F">
            <w:pPr>
              <w:rPr>
                <w:sz w:val="22"/>
                <w:szCs w:val="22"/>
              </w:rPr>
            </w:pPr>
            <w:r>
              <w:rPr>
                <w:sz w:val="22"/>
                <w:szCs w:val="22"/>
              </w:rPr>
              <w:t>Dr. Glen Bishop</w:t>
            </w:r>
          </w:p>
        </w:tc>
        <w:tc>
          <w:tcPr>
            <w:tcW w:w="2833" w:type="dxa"/>
            <w:shd w:val="clear" w:color="auto" w:fill="auto"/>
          </w:tcPr>
          <w:p w14:paraId="405C59B7" w14:textId="401E4123" w:rsidR="000F6A6F" w:rsidRPr="00D04F96" w:rsidRDefault="000F6A6F" w:rsidP="000F6A6F">
            <w:pPr>
              <w:rPr>
                <w:sz w:val="22"/>
                <w:szCs w:val="22"/>
              </w:rPr>
            </w:pPr>
            <w:r>
              <w:rPr>
                <w:sz w:val="22"/>
                <w:szCs w:val="22"/>
              </w:rPr>
              <w:t>Dr. Johnette Moody</w:t>
            </w:r>
          </w:p>
        </w:tc>
      </w:tr>
      <w:tr w:rsidR="007A0E40" w:rsidRPr="00D04F96" w14:paraId="16B5DDFF" w14:textId="77777777" w:rsidTr="007B654E">
        <w:tc>
          <w:tcPr>
            <w:tcW w:w="3377" w:type="dxa"/>
            <w:shd w:val="clear" w:color="auto" w:fill="auto"/>
          </w:tcPr>
          <w:p w14:paraId="104439A0" w14:textId="5CA211ED" w:rsidR="007A0E40" w:rsidRPr="00D04F96" w:rsidRDefault="007A0E40" w:rsidP="007A0E40">
            <w:pPr>
              <w:rPr>
                <w:sz w:val="22"/>
                <w:szCs w:val="22"/>
              </w:rPr>
            </w:pPr>
            <w:r w:rsidRPr="000F6A6F">
              <w:rPr>
                <w:sz w:val="22"/>
                <w:szCs w:val="22"/>
              </w:rPr>
              <w:t>Dr. Carey Ellis</w:t>
            </w:r>
          </w:p>
        </w:tc>
        <w:tc>
          <w:tcPr>
            <w:tcW w:w="2833" w:type="dxa"/>
            <w:shd w:val="clear" w:color="auto" w:fill="auto"/>
          </w:tcPr>
          <w:p w14:paraId="24637616" w14:textId="2AC88F2D" w:rsidR="007A0E40" w:rsidRPr="00D04F96" w:rsidRDefault="007A0E40" w:rsidP="007A0E40">
            <w:pPr>
              <w:rPr>
                <w:sz w:val="22"/>
                <w:szCs w:val="22"/>
              </w:rPr>
            </w:pPr>
            <w:r w:rsidRPr="000F6A6F">
              <w:rPr>
                <w:sz w:val="22"/>
                <w:szCs w:val="22"/>
              </w:rPr>
              <w:t>Dr. V. Carole Smith</w:t>
            </w:r>
          </w:p>
        </w:tc>
      </w:tr>
      <w:tr w:rsidR="007A0E40" w:rsidRPr="00D04F96" w14:paraId="1DBE805E" w14:textId="77777777" w:rsidTr="007B654E">
        <w:tc>
          <w:tcPr>
            <w:tcW w:w="3377" w:type="dxa"/>
            <w:shd w:val="clear" w:color="auto" w:fill="auto"/>
          </w:tcPr>
          <w:p w14:paraId="5A12355C" w14:textId="77777777" w:rsidR="007A0E40" w:rsidRPr="00D04F96" w:rsidRDefault="007A0E40" w:rsidP="007A0E40">
            <w:pPr>
              <w:rPr>
                <w:sz w:val="22"/>
                <w:szCs w:val="22"/>
              </w:rPr>
            </w:pPr>
            <w:r>
              <w:rPr>
                <w:sz w:val="22"/>
                <w:szCs w:val="22"/>
              </w:rPr>
              <w:t>Dr. Jon Clements</w:t>
            </w:r>
          </w:p>
        </w:tc>
        <w:tc>
          <w:tcPr>
            <w:tcW w:w="2833" w:type="dxa"/>
            <w:shd w:val="clear" w:color="auto" w:fill="auto"/>
          </w:tcPr>
          <w:p w14:paraId="0795ED55" w14:textId="6B296918" w:rsidR="007A0E40" w:rsidRPr="00D04F96" w:rsidRDefault="007A0E40" w:rsidP="007A0E40">
            <w:pPr>
              <w:rPr>
                <w:sz w:val="22"/>
                <w:szCs w:val="22"/>
              </w:rPr>
            </w:pPr>
            <w:r w:rsidRPr="00CB69DE">
              <w:rPr>
                <w:sz w:val="22"/>
                <w:szCs w:val="22"/>
              </w:rPr>
              <w:t>Dr. Monty Smith</w:t>
            </w:r>
          </w:p>
        </w:tc>
      </w:tr>
      <w:tr w:rsidR="007A0E40" w:rsidRPr="00D04F96" w14:paraId="34706A0C" w14:textId="77777777" w:rsidTr="007B654E">
        <w:tc>
          <w:tcPr>
            <w:tcW w:w="3377" w:type="dxa"/>
            <w:shd w:val="clear" w:color="auto" w:fill="auto"/>
          </w:tcPr>
          <w:p w14:paraId="304F4940" w14:textId="77777777" w:rsidR="007A0E40" w:rsidRPr="00D04F96" w:rsidRDefault="007A0E40" w:rsidP="007A0E40">
            <w:pPr>
              <w:rPr>
                <w:sz w:val="22"/>
                <w:szCs w:val="22"/>
              </w:rPr>
            </w:pPr>
            <w:r>
              <w:rPr>
                <w:sz w:val="22"/>
                <w:szCs w:val="22"/>
              </w:rPr>
              <w:t>Dr. Michael Davis</w:t>
            </w:r>
          </w:p>
        </w:tc>
        <w:tc>
          <w:tcPr>
            <w:tcW w:w="2833" w:type="dxa"/>
            <w:shd w:val="clear" w:color="auto" w:fill="auto"/>
          </w:tcPr>
          <w:p w14:paraId="6CB9F171" w14:textId="2EB19CF4" w:rsidR="007A0E40" w:rsidRPr="00D04F96" w:rsidRDefault="007A0E40" w:rsidP="007A0E40">
            <w:pPr>
              <w:rPr>
                <w:sz w:val="22"/>
                <w:szCs w:val="22"/>
              </w:rPr>
            </w:pPr>
            <w:r>
              <w:rPr>
                <w:sz w:val="22"/>
                <w:szCs w:val="22"/>
              </w:rPr>
              <w:t>Dr. Sarah Stein</w:t>
            </w:r>
          </w:p>
        </w:tc>
      </w:tr>
      <w:tr w:rsidR="007A0E40" w:rsidRPr="00D04F96" w14:paraId="11954F9A" w14:textId="77777777" w:rsidTr="007B654E">
        <w:tc>
          <w:tcPr>
            <w:tcW w:w="3377" w:type="dxa"/>
            <w:shd w:val="clear" w:color="auto" w:fill="auto"/>
          </w:tcPr>
          <w:p w14:paraId="57A11AB6" w14:textId="09D01789" w:rsidR="007A0E40" w:rsidRPr="00D04F96" w:rsidRDefault="007A0E40" w:rsidP="007A0E40">
            <w:pPr>
              <w:rPr>
                <w:sz w:val="22"/>
                <w:szCs w:val="22"/>
              </w:rPr>
            </w:pPr>
            <w:r>
              <w:rPr>
                <w:sz w:val="22"/>
                <w:szCs w:val="22"/>
              </w:rPr>
              <w:t>Dr. David Eshelman</w:t>
            </w:r>
          </w:p>
        </w:tc>
        <w:tc>
          <w:tcPr>
            <w:tcW w:w="2833" w:type="dxa"/>
            <w:shd w:val="clear" w:color="auto" w:fill="auto"/>
          </w:tcPr>
          <w:p w14:paraId="5A8A957A" w14:textId="6EDF1162" w:rsidR="007A0E40" w:rsidRPr="00D04F96" w:rsidRDefault="007A0E40" w:rsidP="007A0E40">
            <w:pPr>
              <w:rPr>
                <w:sz w:val="22"/>
                <w:szCs w:val="22"/>
              </w:rPr>
            </w:pPr>
            <w:r>
              <w:rPr>
                <w:sz w:val="22"/>
                <w:szCs w:val="22"/>
              </w:rPr>
              <w:t>Dr. Bruce Tedford</w:t>
            </w:r>
          </w:p>
        </w:tc>
      </w:tr>
      <w:tr w:rsidR="007A0E40" w:rsidRPr="00D04F96" w14:paraId="34D69510" w14:textId="77777777" w:rsidTr="007B654E">
        <w:tc>
          <w:tcPr>
            <w:tcW w:w="3377" w:type="dxa"/>
            <w:shd w:val="clear" w:color="auto" w:fill="auto"/>
          </w:tcPr>
          <w:p w14:paraId="281B781A" w14:textId="0F239D11" w:rsidR="007A0E40" w:rsidRPr="00D04F96" w:rsidRDefault="007A0E40" w:rsidP="007A0E40">
            <w:pPr>
              <w:rPr>
                <w:sz w:val="22"/>
                <w:szCs w:val="22"/>
              </w:rPr>
            </w:pPr>
            <w:r>
              <w:rPr>
                <w:sz w:val="22"/>
                <w:szCs w:val="22"/>
              </w:rPr>
              <w:t>Ms. Holly Ruth Gale</w:t>
            </w:r>
          </w:p>
        </w:tc>
        <w:tc>
          <w:tcPr>
            <w:tcW w:w="2833" w:type="dxa"/>
            <w:shd w:val="clear" w:color="auto" w:fill="auto"/>
          </w:tcPr>
          <w:p w14:paraId="40DB36EA" w14:textId="7EAAC725" w:rsidR="007A0E40" w:rsidRPr="00D04F96" w:rsidRDefault="007A0E40" w:rsidP="007A0E40">
            <w:pPr>
              <w:rPr>
                <w:sz w:val="22"/>
                <w:szCs w:val="22"/>
              </w:rPr>
            </w:pPr>
            <w:r w:rsidRPr="00A87080">
              <w:rPr>
                <w:sz w:val="22"/>
                <w:szCs w:val="22"/>
              </w:rPr>
              <w:t>Dr. Brendan Toner</w:t>
            </w:r>
          </w:p>
        </w:tc>
      </w:tr>
      <w:tr w:rsidR="007A0E40" w:rsidRPr="00D04F96" w14:paraId="09B980E5" w14:textId="77777777" w:rsidTr="007B654E">
        <w:tc>
          <w:tcPr>
            <w:tcW w:w="3377" w:type="dxa"/>
            <w:shd w:val="clear" w:color="auto" w:fill="auto"/>
          </w:tcPr>
          <w:p w14:paraId="2721496D" w14:textId="644D54CA" w:rsidR="007A0E40" w:rsidRPr="00D04F96" w:rsidRDefault="007A0E40" w:rsidP="007A0E40">
            <w:pPr>
              <w:rPr>
                <w:sz w:val="22"/>
                <w:szCs w:val="22"/>
              </w:rPr>
            </w:pPr>
            <w:r>
              <w:rPr>
                <w:sz w:val="22"/>
                <w:szCs w:val="22"/>
              </w:rPr>
              <w:t>Dr. Shellie Hanna</w:t>
            </w:r>
          </w:p>
        </w:tc>
        <w:tc>
          <w:tcPr>
            <w:tcW w:w="2833" w:type="dxa"/>
            <w:shd w:val="clear" w:color="auto" w:fill="auto"/>
          </w:tcPr>
          <w:p w14:paraId="430AA06E" w14:textId="78A6E208" w:rsidR="007A0E40" w:rsidRPr="00D04F96" w:rsidRDefault="007A0E40" w:rsidP="007A0E40">
            <w:pPr>
              <w:rPr>
                <w:sz w:val="22"/>
                <w:szCs w:val="22"/>
              </w:rPr>
            </w:pPr>
            <w:r w:rsidRPr="000F6A6F">
              <w:rPr>
                <w:sz w:val="22"/>
                <w:szCs w:val="22"/>
              </w:rPr>
              <w:t>Dr. Jack Tucci</w:t>
            </w:r>
          </w:p>
        </w:tc>
      </w:tr>
      <w:tr w:rsidR="007A0E40" w:rsidRPr="00D04F96" w14:paraId="06EA0E9E" w14:textId="77777777" w:rsidTr="007B654E">
        <w:tc>
          <w:tcPr>
            <w:tcW w:w="3377" w:type="dxa"/>
            <w:shd w:val="clear" w:color="auto" w:fill="auto"/>
          </w:tcPr>
          <w:p w14:paraId="2C927801" w14:textId="05BAAB65" w:rsidR="007A0E40" w:rsidRPr="00D04F96" w:rsidRDefault="007A0E40" w:rsidP="007A0E40">
            <w:pPr>
              <w:rPr>
                <w:sz w:val="22"/>
                <w:szCs w:val="22"/>
              </w:rPr>
            </w:pPr>
            <w:r>
              <w:rPr>
                <w:sz w:val="22"/>
                <w:szCs w:val="22"/>
              </w:rPr>
              <w:t>Dr. Newt Hilliard</w:t>
            </w:r>
          </w:p>
        </w:tc>
        <w:tc>
          <w:tcPr>
            <w:tcW w:w="2833" w:type="dxa"/>
            <w:shd w:val="clear" w:color="auto" w:fill="auto"/>
          </w:tcPr>
          <w:p w14:paraId="0A129BA7" w14:textId="353A3608" w:rsidR="007A0E40" w:rsidRPr="00D04F96" w:rsidRDefault="007A0E40" w:rsidP="007A0E40">
            <w:pPr>
              <w:rPr>
                <w:sz w:val="22"/>
                <w:szCs w:val="22"/>
              </w:rPr>
            </w:pPr>
            <w:r>
              <w:rPr>
                <w:sz w:val="22"/>
                <w:szCs w:val="22"/>
              </w:rPr>
              <w:t>Dr. Susan Underwood</w:t>
            </w:r>
          </w:p>
        </w:tc>
      </w:tr>
      <w:tr w:rsidR="007A0E40" w:rsidRPr="00D04F96" w14:paraId="06263021" w14:textId="77777777" w:rsidTr="007B654E">
        <w:tc>
          <w:tcPr>
            <w:tcW w:w="3377" w:type="dxa"/>
            <w:shd w:val="clear" w:color="auto" w:fill="auto"/>
          </w:tcPr>
          <w:p w14:paraId="5C3F78AC" w14:textId="5DD019D0" w:rsidR="007A0E40" w:rsidRPr="00D04F96" w:rsidRDefault="007A0E40" w:rsidP="007A0E40">
            <w:pPr>
              <w:rPr>
                <w:sz w:val="22"/>
                <w:szCs w:val="22"/>
              </w:rPr>
            </w:pPr>
            <w:r>
              <w:rPr>
                <w:sz w:val="22"/>
                <w:szCs w:val="22"/>
              </w:rPr>
              <w:t>Dr. Joshua Lockyer</w:t>
            </w:r>
          </w:p>
        </w:tc>
        <w:tc>
          <w:tcPr>
            <w:tcW w:w="2833" w:type="dxa"/>
            <w:shd w:val="clear" w:color="auto" w:fill="auto"/>
          </w:tcPr>
          <w:p w14:paraId="0A053DF2" w14:textId="20607B0A" w:rsidR="007A0E40" w:rsidRPr="00D04F96" w:rsidRDefault="007A0E40" w:rsidP="007A0E40">
            <w:pPr>
              <w:rPr>
                <w:sz w:val="22"/>
                <w:szCs w:val="22"/>
              </w:rPr>
            </w:pPr>
          </w:p>
        </w:tc>
      </w:tr>
    </w:tbl>
    <w:p w14:paraId="30E937C3" w14:textId="77777777" w:rsidR="00A320EA" w:rsidRDefault="00A320EA" w:rsidP="008E5C0F">
      <w:pPr>
        <w:rPr>
          <w:sz w:val="22"/>
          <w:szCs w:val="22"/>
        </w:rPr>
      </w:pPr>
    </w:p>
    <w:p w14:paraId="5DBEBC3B" w14:textId="20B8715D" w:rsidR="005C6208" w:rsidRDefault="003006D6" w:rsidP="008E5C0F">
      <w:pPr>
        <w:rPr>
          <w:sz w:val="22"/>
          <w:szCs w:val="22"/>
        </w:rPr>
      </w:pPr>
      <w:r>
        <w:rPr>
          <w:sz w:val="22"/>
          <w:szCs w:val="22"/>
        </w:rPr>
        <w:t>Dr. Pam Carr</w:t>
      </w:r>
      <w:r w:rsidR="00D06B7D" w:rsidRPr="000F6A6F">
        <w:rPr>
          <w:sz w:val="22"/>
          <w:szCs w:val="22"/>
        </w:rPr>
        <w:t>, Dr. Scott Jordan,</w:t>
      </w:r>
      <w:r w:rsidR="009118EE">
        <w:rPr>
          <w:sz w:val="22"/>
          <w:szCs w:val="22"/>
        </w:rPr>
        <w:t xml:space="preserve"> and</w:t>
      </w:r>
      <w:r w:rsidR="00D06B7D" w:rsidRPr="000F6A6F">
        <w:rPr>
          <w:sz w:val="22"/>
          <w:szCs w:val="22"/>
        </w:rPr>
        <w:t xml:space="preserve"> </w:t>
      </w:r>
      <w:r>
        <w:rPr>
          <w:sz w:val="22"/>
          <w:szCs w:val="22"/>
        </w:rPr>
        <w:t>Dr. Jeremy Schwehm</w:t>
      </w:r>
      <w:r w:rsidRPr="000F6A6F">
        <w:rPr>
          <w:sz w:val="22"/>
          <w:szCs w:val="22"/>
        </w:rPr>
        <w:t xml:space="preserve"> </w:t>
      </w:r>
      <w:r w:rsidR="00D06B7D" w:rsidRPr="000F6A6F">
        <w:rPr>
          <w:sz w:val="22"/>
          <w:szCs w:val="22"/>
        </w:rPr>
        <w:t>were absen</w:t>
      </w:r>
      <w:r w:rsidR="00D06B7D" w:rsidRPr="00012C06">
        <w:rPr>
          <w:sz w:val="22"/>
          <w:szCs w:val="22"/>
        </w:rPr>
        <w:t>t.</w:t>
      </w:r>
      <w:r w:rsidR="00D06B7D">
        <w:rPr>
          <w:sz w:val="22"/>
          <w:szCs w:val="22"/>
        </w:rPr>
        <w:t xml:space="preserve"> </w:t>
      </w:r>
      <w:r w:rsidR="009118EE">
        <w:rPr>
          <w:sz w:val="22"/>
          <w:szCs w:val="22"/>
        </w:rPr>
        <w:t>Dr. Christine Austin,</w:t>
      </w:r>
      <w:r w:rsidR="007D0067">
        <w:rPr>
          <w:sz w:val="22"/>
          <w:szCs w:val="22"/>
        </w:rPr>
        <w:t xml:space="preserve"> Ms. Sara Bailey,</w:t>
      </w:r>
      <w:r w:rsidR="009118EE">
        <w:rPr>
          <w:sz w:val="22"/>
          <w:szCs w:val="22"/>
        </w:rPr>
        <w:t xml:space="preserve"> </w:t>
      </w:r>
      <w:r w:rsidR="00631308">
        <w:rPr>
          <w:sz w:val="22"/>
          <w:szCs w:val="22"/>
        </w:rPr>
        <w:t xml:space="preserve">Dr. Phillip Bridgmon, </w:t>
      </w:r>
      <w:r w:rsidR="007D0067">
        <w:rPr>
          <w:sz w:val="22"/>
          <w:szCs w:val="22"/>
        </w:rPr>
        <w:t xml:space="preserve">Mr. Greg Crouch, Dr. Rick Massengale, </w:t>
      </w:r>
      <w:r w:rsidR="00631308">
        <w:rPr>
          <w:sz w:val="22"/>
          <w:szCs w:val="22"/>
        </w:rPr>
        <w:t>Ms. Jennifer McNeely</w:t>
      </w:r>
      <w:r w:rsidR="009118EE">
        <w:rPr>
          <w:sz w:val="22"/>
          <w:szCs w:val="22"/>
        </w:rPr>
        <w:t>, Dr. David Middleton, Mr. Thomas Pennington, Dr. Mike Rogers,</w:t>
      </w:r>
      <w:r w:rsidR="00013686">
        <w:rPr>
          <w:sz w:val="22"/>
          <w:szCs w:val="22"/>
        </w:rPr>
        <w:t xml:space="preserve"> and</w:t>
      </w:r>
      <w:r w:rsidR="009118EE">
        <w:rPr>
          <w:sz w:val="22"/>
          <w:szCs w:val="22"/>
        </w:rPr>
        <w:t xml:space="preserve"> </w:t>
      </w:r>
      <w:r w:rsidR="00572A62">
        <w:rPr>
          <w:sz w:val="22"/>
          <w:szCs w:val="22"/>
        </w:rPr>
        <w:t xml:space="preserve">Ms. </w:t>
      </w:r>
      <w:r w:rsidR="002B76E0">
        <w:rPr>
          <w:sz w:val="22"/>
          <w:szCs w:val="22"/>
        </w:rPr>
        <w:t>Tammy Weaver</w:t>
      </w:r>
      <w:r w:rsidR="009118EE">
        <w:rPr>
          <w:sz w:val="22"/>
          <w:szCs w:val="22"/>
        </w:rPr>
        <w:t xml:space="preserve"> </w:t>
      </w:r>
      <w:r w:rsidR="00631308">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72F22B6E"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001687">
              <w:rPr>
                <w:sz w:val="22"/>
                <w:szCs w:val="22"/>
              </w:rPr>
              <w:t xml:space="preserve"> at 3:00 pm.</w:t>
            </w:r>
          </w:p>
        </w:tc>
      </w:tr>
      <w:tr w:rsidR="00384033" w:rsidRPr="00A96408" w14:paraId="3C687F6F" w14:textId="77777777" w:rsidTr="00384033">
        <w:trPr>
          <w:trHeight w:val="1147"/>
        </w:trPr>
        <w:tc>
          <w:tcPr>
            <w:tcW w:w="2250" w:type="dxa"/>
          </w:tcPr>
          <w:p w14:paraId="78C2797B" w14:textId="77777777" w:rsidR="00384033" w:rsidRDefault="00384033" w:rsidP="00384033">
            <w:pPr>
              <w:rPr>
                <w:sz w:val="22"/>
                <w:szCs w:val="22"/>
              </w:rPr>
            </w:pPr>
            <w:r>
              <w:rPr>
                <w:sz w:val="22"/>
                <w:szCs w:val="22"/>
              </w:rPr>
              <w:t>A</w:t>
            </w:r>
            <w:r w:rsidRPr="00482A0B">
              <w:rPr>
                <w:sz w:val="22"/>
                <w:szCs w:val="22"/>
              </w:rPr>
              <w:t>PPROVAL OF MINUTE</w:t>
            </w:r>
            <w:r>
              <w:rPr>
                <w:sz w:val="22"/>
                <w:szCs w:val="22"/>
              </w:rPr>
              <w:t>S</w:t>
            </w:r>
          </w:p>
          <w:p w14:paraId="3C3A8F78" w14:textId="77777777" w:rsidR="00384033" w:rsidRPr="00374A18" w:rsidRDefault="00384033" w:rsidP="00524F85">
            <w:pPr>
              <w:rPr>
                <w:sz w:val="22"/>
                <w:szCs w:val="22"/>
              </w:rPr>
            </w:pPr>
          </w:p>
        </w:tc>
        <w:tc>
          <w:tcPr>
            <w:tcW w:w="8422" w:type="dxa"/>
          </w:tcPr>
          <w:p w14:paraId="2D9EB3E7" w14:textId="0FD69A40" w:rsidR="00384033" w:rsidRDefault="00631308" w:rsidP="009118EE">
            <w:pPr>
              <w:rPr>
                <w:sz w:val="22"/>
                <w:szCs w:val="22"/>
              </w:rPr>
            </w:pPr>
            <w:r>
              <w:rPr>
                <w:sz w:val="22"/>
                <w:szCs w:val="22"/>
              </w:rPr>
              <w:t>Dr. Susan Underwood moved to approv</w:t>
            </w:r>
            <w:r w:rsidR="009118EE">
              <w:rPr>
                <w:sz w:val="22"/>
                <w:szCs w:val="22"/>
              </w:rPr>
              <w:t>e the minutes from the October</w:t>
            </w:r>
            <w:r w:rsidR="002046A7">
              <w:rPr>
                <w:sz w:val="22"/>
                <w:szCs w:val="22"/>
              </w:rPr>
              <w:t xml:space="preserve"> 9</w:t>
            </w:r>
            <w:r>
              <w:rPr>
                <w:sz w:val="22"/>
                <w:szCs w:val="22"/>
              </w:rPr>
              <w:t xml:space="preserve">, </w:t>
            </w:r>
            <w:r w:rsidR="009118EE">
              <w:rPr>
                <w:sz w:val="22"/>
                <w:szCs w:val="22"/>
              </w:rPr>
              <w:t>2018,</w:t>
            </w:r>
            <w:r w:rsidR="002046A7">
              <w:rPr>
                <w:sz w:val="22"/>
                <w:szCs w:val="22"/>
              </w:rPr>
              <w:t xml:space="preserve"> meeting.</w:t>
            </w:r>
            <w:r w:rsidR="009118EE">
              <w:rPr>
                <w:sz w:val="22"/>
                <w:szCs w:val="22"/>
              </w:rPr>
              <w:t xml:space="preserve">  Ms.Holly Ruth Gale </w:t>
            </w:r>
            <w:r>
              <w:rPr>
                <w:sz w:val="22"/>
                <w:szCs w:val="22"/>
              </w:rPr>
              <w:t>seconded.  Minutes were approved.</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20607892" w14:textId="77777777" w:rsidR="00A85D01" w:rsidRDefault="00631308" w:rsidP="00413C2A">
            <w:pPr>
              <w:rPr>
                <w:sz w:val="22"/>
                <w:szCs w:val="22"/>
              </w:rPr>
            </w:pPr>
            <w:r>
              <w:rPr>
                <w:sz w:val="22"/>
                <w:szCs w:val="22"/>
              </w:rPr>
              <w:t>Dr. Phillip Bridgmon, VPAA, reported that</w:t>
            </w:r>
            <w:r w:rsidR="00A85D01">
              <w:rPr>
                <w:sz w:val="22"/>
                <w:szCs w:val="22"/>
              </w:rPr>
              <w:t xml:space="preserve"> candidates for</w:t>
            </w:r>
            <w:r>
              <w:rPr>
                <w:sz w:val="22"/>
                <w:szCs w:val="22"/>
              </w:rPr>
              <w:t xml:space="preserve"> </w:t>
            </w:r>
            <w:r w:rsidR="00A85D01">
              <w:rPr>
                <w:sz w:val="22"/>
                <w:szCs w:val="22"/>
              </w:rPr>
              <w:t>the position of Graduate Dean had been on campus last week and that an offer would be made Friday.  The recruitment for the position of Vice President for Academic Affairs has begun.  The cutoff for candidates to submit applications for preferred consideration is January 11, 2019.</w:t>
            </w:r>
          </w:p>
          <w:p w14:paraId="7A5EA430" w14:textId="77777777" w:rsidR="00A85D01" w:rsidRDefault="00A85D01" w:rsidP="00413C2A">
            <w:pPr>
              <w:rPr>
                <w:sz w:val="22"/>
                <w:szCs w:val="22"/>
              </w:rPr>
            </w:pPr>
          </w:p>
          <w:p w14:paraId="3B9A6688" w14:textId="679D8C1C" w:rsidR="00790483" w:rsidRDefault="00A85D01" w:rsidP="00413C2A">
            <w:pPr>
              <w:rPr>
                <w:sz w:val="22"/>
                <w:szCs w:val="22"/>
              </w:rPr>
            </w:pPr>
            <w:r>
              <w:rPr>
                <w:sz w:val="22"/>
                <w:szCs w:val="22"/>
              </w:rPr>
              <w:t xml:space="preserve">The visit </w:t>
            </w:r>
            <w:r w:rsidR="00790483">
              <w:rPr>
                <w:sz w:val="22"/>
                <w:szCs w:val="22"/>
              </w:rPr>
              <w:t>from the team from</w:t>
            </w:r>
            <w:r>
              <w:rPr>
                <w:sz w:val="22"/>
                <w:szCs w:val="22"/>
              </w:rPr>
              <w:t xml:space="preserve"> the Higher Learning Commission of the North Central Association of Colleges and Universities</w:t>
            </w:r>
            <w:r w:rsidR="003A5DFA">
              <w:rPr>
                <w:sz w:val="22"/>
                <w:szCs w:val="22"/>
              </w:rPr>
              <w:t xml:space="preserve"> (HLC)</w:t>
            </w:r>
            <w:r>
              <w:rPr>
                <w:sz w:val="22"/>
                <w:szCs w:val="22"/>
              </w:rPr>
              <w:t xml:space="preserve"> is set</w:t>
            </w:r>
            <w:r w:rsidR="00790483">
              <w:rPr>
                <w:sz w:val="22"/>
                <w:szCs w:val="22"/>
              </w:rPr>
              <w:t>.  The reaffirmation process will occur during the 2020-2021 academic year.</w:t>
            </w:r>
          </w:p>
          <w:p w14:paraId="6AD72075" w14:textId="77777777" w:rsidR="00790483" w:rsidRDefault="00790483" w:rsidP="00413C2A">
            <w:pPr>
              <w:rPr>
                <w:sz w:val="22"/>
                <w:szCs w:val="22"/>
              </w:rPr>
            </w:pPr>
          </w:p>
          <w:p w14:paraId="4994E3F7" w14:textId="56F6BC81" w:rsidR="00457D84" w:rsidRDefault="00790483" w:rsidP="00413C2A">
            <w:pPr>
              <w:rPr>
                <w:sz w:val="22"/>
                <w:szCs w:val="22"/>
              </w:rPr>
            </w:pPr>
            <w:r>
              <w:rPr>
                <w:sz w:val="22"/>
                <w:szCs w:val="22"/>
              </w:rPr>
              <w:t>There is a continued focus on student success which is the first goal of the university strategic plan and is emphasized in the university mission statement.</w:t>
            </w:r>
            <w:r w:rsidR="00A85D01">
              <w:rPr>
                <w:sz w:val="22"/>
                <w:szCs w:val="22"/>
              </w:rPr>
              <w:t xml:space="preserve">  </w:t>
            </w:r>
          </w:p>
          <w:p w14:paraId="70CEE62C" w14:textId="77777777" w:rsidR="00457D84" w:rsidRDefault="00457D84" w:rsidP="00413C2A">
            <w:pPr>
              <w:rPr>
                <w:sz w:val="22"/>
                <w:szCs w:val="22"/>
              </w:rPr>
            </w:pPr>
          </w:p>
          <w:p w14:paraId="1F320875" w14:textId="505B610C" w:rsidR="007F4DEE" w:rsidRDefault="007F4DEE" w:rsidP="00413C2A">
            <w:pPr>
              <w:rPr>
                <w:sz w:val="22"/>
                <w:szCs w:val="22"/>
              </w:rPr>
            </w:pPr>
          </w:p>
          <w:p w14:paraId="06FE7DB3" w14:textId="0B8F9ACB" w:rsidR="00457D84" w:rsidRDefault="00457D84" w:rsidP="00413C2A">
            <w:pPr>
              <w:rPr>
                <w:sz w:val="22"/>
                <w:szCs w:val="22"/>
              </w:rPr>
            </w:pP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t>NEW BUSINESS</w:t>
            </w:r>
          </w:p>
          <w:p w14:paraId="3317D56F" w14:textId="32F52369" w:rsidR="007D4305" w:rsidRPr="007D4305" w:rsidRDefault="00E36580" w:rsidP="007D4305">
            <w:pPr>
              <w:pStyle w:val="ListParagraph"/>
              <w:numPr>
                <w:ilvl w:val="0"/>
                <w:numId w:val="2"/>
              </w:numPr>
              <w:rPr>
                <w:sz w:val="22"/>
                <w:szCs w:val="22"/>
              </w:rPr>
            </w:pPr>
            <w:r>
              <w:rPr>
                <w:sz w:val="22"/>
                <w:szCs w:val="22"/>
              </w:rPr>
              <w:t>Online student drop form</w:t>
            </w:r>
          </w:p>
        </w:tc>
        <w:tc>
          <w:tcPr>
            <w:tcW w:w="8422" w:type="dxa"/>
          </w:tcPr>
          <w:p w14:paraId="1F455E49" w14:textId="515EE239" w:rsidR="007E658E" w:rsidRDefault="00091A0C" w:rsidP="00091A0C">
            <w:pPr>
              <w:rPr>
                <w:sz w:val="22"/>
                <w:szCs w:val="22"/>
              </w:rPr>
            </w:pPr>
            <w:r>
              <w:rPr>
                <w:sz w:val="22"/>
                <w:szCs w:val="22"/>
              </w:rPr>
              <w:t xml:space="preserve">Ms. Tammy Weaver spoke </w:t>
            </w:r>
            <w:r w:rsidR="00E36580">
              <w:rPr>
                <w:sz w:val="22"/>
                <w:szCs w:val="22"/>
              </w:rPr>
              <w:t xml:space="preserve">about the online student drop form.  While initially intended for use by off campus students, it is also being used by on campus students.  While some faculty are concerned about not seeing students who are considering dropping a course in person, the online form has resulted in the reduction of thousands of emails being handled by the Office of the Registrar.  The online form also provides for checking with financial aid and tracking of reasons for dropping courses.  Popups remind students to communicate with appropriate offices.  The online drop system provides better advice in many cases than a human adviser.  Less than 1% of course drops use the electronic online form.  The online </w:t>
            </w:r>
            <w:r w:rsidR="00E36580">
              <w:rPr>
                <w:sz w:val="22"/>
                <w:szCs w:val="22"/>
              </w:rPr>
              <w:lastRenderedPageBreak/>
              <w:t>form was established for the convenience of students and advisors for online, working students.  The Office of the Registrar cannot drop students without input from an advisor.</w:t>
            </w:r>
          </w:p>
          <w:p w14:paraId="0C410760" w14:textId="7C352E7D" w:rsidR="00457D84" w:rsidRPr="00126F4C" w:rsidRDefault="00457D84" w:rsidP="00091A0C">
            <w:pPr>
              <w:rPr>
                <w:sz w:val="22"/>
                <w:szCs w:val="22"/>
              </w:rPr>
            </w:pPr>
          </w:p>
        </w:tc>
      </w:tr>
      <w:tr w:rsidR="00E36580" w:rsidRPr="00A96408" w14:paraId="361E5873" w14:textId="77777777" w:rsidTr="00582320">
        <w:tc>
          <w:tcPr>
            <w:tcW w:w="2250" w:type="dxa"/>
          </w:tcPr>
          <w:p w14:paraId="70DF5383" w14:textId="624328D8" w:rsidR="00E36580" w:rsidRPr="00E36580" w:rsidRDefault="00E36580" w:rsidP="00E36580">
            <w:pPr>
              <w:pStyle w:val="ListParagraph"/>
              <w:numPr>
                <w:ilvl w:val="0"/>
                <w:numId w:val="2"/>
              </w:numPr>
              <w:rPr>
                <w:sz w:val="22"/>
                <w:szCs w:val="22"/>
              </w:rPr>
            </w:pPr>
            <w:r>
              <w:rPr>
                <w:sz w:val="22"/>
                <w:szCs w:val="22"/>
              </w:rPr>
              <w:lastRenderedPageBreak/>
              <w:t>Ethics Policy</w:t>
            </w:r>
          </w:p>
        </w:tc>
        <w:tc>
          <w:tcPr>
            <w:tcW w:w="8422" w:type="dxa"/>
          </w:tcPr>
          <w:p w14:paraId="4293AB45" w14:textId="55445656" w:rsidR="00E36580" w:rsidRDefault="00E36580" w:rsidP="00091A0C">
            <w:pPr>
              <w:rPr>
                <w:sz w:val="22"/>
                <w:szCs w:val="22"/>
              </w:rPr>
            </w:pPr>
            <w:r>
              <w:rPr>
                <w:sz w:val="22"/>
                <w:szCs w:val="22"/>
              </w:rPr>
              <w:t>Mr. Thomas Pennington reported that HLC Core Criterion 2H</w:t>
            </w:r>
            <w:r w:rsidR="006C5628">
              <w:rPr>
                <w:sz w:val="22"/>
                <w:szCs w:val="22"/>
              </w:rPr>
              <w:t xml:space="preserve"> requires established policies for ethical behavior.  A committee is being established to do this work.  Work needs to be completed at least one month prior to the HLC visit.  Dr. David Eshelman, Dr. Brendan Toner, Dr. Bruce Tedford, and Dr. Jon Clements volunteered to serve on the committee. Approval of policies for ethical behavior will be needed from the Faculty Senate as well as the Staff Senate.</w:t>
            </w:r>
          </w:p>
        </w:tc>
      </w:tr>
      <w:tr w:rsidR="006C5628" w:rsidRPr="00A96408" w14:paraId="5255679B" w14:textId="77777777" w:rsidTr="00582320">
        <w:tc>
          <w:tcPr>
            <w:tcW w:w="2250" w:type="dxa"/>
          </w:tcPr>
          <w:p w14:paraId="255EB083" w14:textId="3C201948" w:rsidR="006C5628" w:rsidRDefault="006C5628" w:rsidP="00E36580">
            <w:pPr>
              <w:pStyle w:val="ListParagraph"/>
              <w:numPr>
                <w:ilvl w:val="0"/>
                <w:numId w:val="2"/>
              </w:numPr>
              <w:rPr>
                <w:sz w:val="22"/>
                <w:szCs w:val="22"/>
              </w:rPr>
            </w:pPr>
            <w:r>
              <w:rPr>
                <w:sz w:val="22"/>
                <w:szCs w:val="22"/>
              </w:rPr>
              <w:t>HLC Update</w:t>
            </w:r>
          </w:p>
        </w:tc>
        <w:tc>
          <w:tcPr>
            <w:tcW w:w="8422" w:type="dxa"/>
          </w:tcPr>
          <w:p w14:paraId="3CA64943" w14:textId="4078AF02" w:rsidR="006C5628" w:rsidRDefault="006C5628" w:rsidP="00A363BF">
            <w:pPr>
              <w:rPr>
                <w:sz w:val="22"/>
                <w:szCs w:val="22"/>
              </w:rPr>
            </w:pPr>
            <w:r>
              <w:rPr>
                <w:sz w:val="22"/>
                <w:szCs w:val="22"/>
              </w:rPr>
              <w:t>Dr. Susan Underwood reported that the argument for reaffirmation of accreditation</w:t>
            </w:r>
            <w:r w:rsidR="00286CA8">
              <w:rPr>
                <w:sz w:val="22"/>
                <w:szCs w:val="22"/>
              </w:rPr>
              <w:t xml:space="preserve"> will need to be completed six weeks before the HLC visit.  This leaves approximately 1.5 years in which to complete work.  Five committees are developing evidence for 5 standards: Mission, Integrity, Teaching, Evaluation of Teaching, and Finance.  Where evidence is week that standards are met ATU will have additional HLC monitoring.  The current effort is to discover gaps in the evidence and strengthen those areas.  Policy on Ethical Behavior mentioned earlier is one of those areas that needs to be strengthened.</w:t>
            </w:r>
            <w:r w:rsidR="003A5DFA">
              <w:rPr>
                <w:sz w:val="22"/>
                <w:szCs w:val="22"/>
              </w:rPr>
              <w:t xml:space="preserve">  An additional area of concern is </w:t>
            </w:r>
            <w:r w:rsidR="00AD7A12">
              <w:rPr>
                <w:sz w:val="22"/>
                <w:szCs w:val="22"/>
              </w:rPr>
              <w:t>documentation of</w:t>
            </w:r>
            <w:r w:rsidR="003A5DFA">
              <w:rPr>
                <w:sz w:val="22"/>
                <w:szCs w:val="22"/>
              </w:rPr>
              <w:t xml:space="preserve"> evaluation of teaching and learning</w:t>
            </w:r>
            <w:r w:rsidR="00AD7A12">
              <w:rPr>
                <w:sz w:val="22"/>
                <w:szCs w:val="22"/>
              </w:rPr>
              <w:t xml:space="preserve"> that</w:t>
            </w:r>
            <w:r w:rsidR="003A5DFA">
              <w:rPr>
                <w:sz w:val="22"/>
                <w:szCs w:val="22"/>
              </w:rPr>
              <w:t xml:space="preserve"> occurs across campuses and in all modes of instruction.  A recommendation from the Faculty Senate is needed by April.  A system for documentation of </w:t>
            </w:r>
            <w:r w:rsidR="00AD7A12">
              <w:rPr>
                <w:sz w:val="22"/>
                <w:szCs w:val="22"/>
              </w:rPr>
              <w:t>evaluation of teaching and learning</w:t>
            </w:r>
            <w:r w:rsidR="003A5DFA">
              <w:rPr>
                <w:sz w:val="22"/>
                <w:szCs w:val="22"/>
              </w:rPr>
              <w:t xml:space="preserve"> must be in place and in use by the time of the HLC visit.</w:t>
            </w:r>
            <w:r w:rsidR="00AD7A12">
              <w:rPr>
                <w:sz w:val="22"/>
                <w:szCs w:val="22"/>
              </w:rPr>
              <w:t xml:space="preserve">  A committee needs to be established with representation beyond the Faculty Senate.  Volunteers are needed for this committee.  Quality of instruction is currently evaluated through peer review and evaluation by department heads in face to face classes.  Quality of online classes is demonstrated through the E-Tech vetting process which is totally different.  Not all online classes are vetted by E-Tech.  Many are evaluated using the same process as face-to-face classes.  Concurrent courses use still a different process.  The university needs a process that provides consistency in evaluating the quality of courses across campuses and in all modes of instruction.  The committee needs a chair to drive the committee and a cross section of people to complete the task.  Ms. Jennifer McNeely volunteered and suggested Ms. Katie Dodd and Desiree Swain from the Ozark Campus as possible members.</w:t>
            </w:r>
            <w:r w:rsidR="00A363BF">
              <w:rPr>
                <w:sz w:val="22"/>
                <w:szCs w:val="22"/>
              </w:rPr>
              <w:t xml:space="preserve"> Lisa Harles was recommended by Dr. Carey Ellis as a possible committee member.  The work of the committee would be to develop a recommendation for the Faculty Senate.  Make additional committee member suggestions within two weeks.</w:t>
            </w:r>
          </w:p>
        </w:tc>
      </w:tr>
      <w:tr w:rsidR="006A62CF" w:rsidRPr="00A96408" w14:paraId="56465BD4" w14:textId="77777777" w:rsidTr="00582320">
        <w:tc>
          <w:tcPr>
            <w:tcW w:w="2250" w:type="dxa"/>
          </w:tcPr>
          <w:p w14:paraId="7D3EDA73" w14:textId="519DD1DA" w:rsidR="006A62CF" w:rsidRDefault="006A62CF" w:rsidP="00E36580">
            <w:pPr>
              <w:pStyle w:val="ListParagraph"/>
              <w:numPr>
                <w:ilvl w:val="0"/>
                <w:numId w:val="2"/>
              </w:numPr>
              <w:rPr>
                <w:sz w:val="22"/>
                <w:szCs w:val="22"/>
              </w:rPr>
            </w:pPr>
            <w:r>
              <w:rPr>
                <w:sz w:val="22"/>
                <w:szCs w:val="22"/>
              </w:rPr>
              <w:t>Procurement Policy</w:t>
            </w:r>
          </w:p>
        </w:tc>
        <w:tc>
          <w:tcPr>
            <w:tcW w:w="8422" w:type="dxa"/>
          </w:tcPr>
          <w:p w14:paraId="6F4F74F2" w14:textId="1AAA1E11" w:rsidR="006A62CF" w:rsidRDefault="00254211" w:rsidP="00A363BF">
            <w:pPr>
              <w:rPr>
                <w:sz w:val="22"/>
                <w:szCs w:val="22"/>
              </w:rPr>
            </w:pPr>
            <w:r>
              <w:rPr>
                <w:sz w:val="22"/>
                <w:szCs w:val="22"/>
              </w:rPr>
              <w:t>Postponed until next month.</w:t>
            </w:r>
          </w:p>
        </w:tc>
      </w:tr>
      <w:tr w:rsidR="00254211" w:rsidRPr="00A96408" w14:paraId="7872E9CB" w14:textId="77777777" w:rsidTr="00582320">
        <w:tc>
          <w:tcPr>
            <w:tcW w:w="2250" w:type="dxa"/>
          </w:tcPr>
          <w:p w14:paraId="407ABBEF" w14:textId="4CB09DCC" w:rsidR="00254211" w:rsidRPr="00254211" w:rsidRDefault="00254211" w:rsidP="00254211">
            <w:pPr>
              <w:pStyle w:val="ListParagraph"/>
              <w:numPr>
                <w:ilvl w:val="0"/>
                <w:numId w:val="2"/>
              </w:numPr>
            </w:pPr>
            <w:r>
              <w:t xml:space="preserve">VPAA Search (Faculty Senate statement) </w:t>
            </w:r>
          </w:p>
        </w:tc>
        <w:tc>
          <w:tcPr>
            <w:tcW w:w="8422" w:type="dxa"/>
          </w:tcPr>
          <w:p w14:paraId="3F88A6C7" w14:textId="261DB3BE" w:rsidR="00254211" w:rsidRDefault="00254211" w:rsidP="00A363BF">
            <w:pPr>
              <w:rPr>
                <w:sz w:val="22"/>
                <w:szCs w:val="22"/>
              </w:rPr>
            </w:pPr>
            <w:r>
              <w:rPr>
                <w:sz w:val="22"/>
                <w:szCs w:val="22"/>
              </w:rPr>
              <w:t>Send comments to Dr. Jon Clements.  Dr. Clements will draft a Faculty Senate statement on qualifications.</w:t>
            </w:r>
          </w:p>
        </w:tc>
      </w:tr>
      <w:tr w:rsidR="00254211" w:rsidRPr="00A96408" w14:paraId="02E6CD7E" w14:textId="77777777" w:rsidTr="00582320">
        <w:tc>
          <w:tcPr>
            <w:tcW w:w="2250" w:type="dxa"/>
          </w:tcPr>
          <w:p w14:paraId="364E14F3" w14:textId="276F063D" w:rsidR="00254211" w:rsidRDefault="00254211" w:rsidP="00254211">
            <w:pPr>
              <w:pStyle w:val="ListParagraph"/>
              <w:numPr>
                <w:ilvl w:val="0"/>
                <w:numId w:val="2"/>
              </w:numPr>
            </w:pPr>
            <w:r>
              <w:t xml:space="preserve">Landscape Plan </w:t>
            </w:r>
          </w:p>
          <w:p w14:paraId="2C226B39" w14:textId="77777777" w:rsidR="00254211" w:rsidRDefault="00254211" w:rsidP="00254211"/>
        </w:tc>
        <w:tc>
          <w:tcPr>
            <w:tcW w:w="8422" w:type="dxa"/>
          </w:tcPr>
          <w:p w14:paraId="3F783DC7" w14:textId="3F7D5CB3" w:rsidR="00254211" w:rsidRDefault="00254211" w:rsidP="00A363BF">
            <w:pPr>
              <w:rPr>
                <w:sz w:val="22"/>
                <w:szCs w:val="22"/>
              </w:rPr>
            </w:pPr>
            <w:r>
              <w:rPr>
                <w:sz w:val="22"/>
                <w:szCs w:val="22"/>
              </w:rPr>
              <w:t>Postponed until next month.</w:t>
            </w:r>
          </w:p>
        </w:tc>
      </w:tr>
      <w:tr w:rsidR="00254211" w:rsidRPr="00A96408" w14:paraId="1BC13718" w14:textId="77777777" w:rsidTr="00582320">
        <w:tc>
          <w:tcPr>
            <w:tcW w:w="2250" w:type="dxa"/>
          </w:tcPr>
          <w:p w14:paraId="271598BD" w14:textId="22BCE761" w:rsidR="00254211" w:rsidRDefault="00254211" w:rsidP="00254211">
            <w:pPr>
              <w:pStyle w:val="ListParagraph"/>
              <w:numPr>
                <w:ilvl w:val="0"/>
                <w:numId w:val="2"/>
              </w:numPr>
            </w:pPr>
            <w:r>
              <w:t xml:space="preserve">Timing of Deans/Dept. Heads/Faculty evaluations </w:t>
            </w:r>
          </w:p>
        </w:tc>
        <w:tc>
          <w:tcPr>
            <w:tcW w:w="8422" w:type="dxa"/>
          </w:tcPr>
          <w:p w14:paraId="02915046" w14:textId="32795526" w:rsidR="00254211" w:rsidRDefault="00254211" w:rsidP="00A363BF">
            <w:pPr>
              <w:rPr>
                <w:sz w:val="22"/>
                <w:szCs w:val="22"/>
              </w:rPr>
            </w:pPr>
            <w:r>
              <w:rPr>
                <w:sz w:val="22"/>
                <w:szCs w:val="22"/>
              </w:rPr>
              <w:t>Postponed until next month.</w:t>
            </w:r>
          </w:p>
        </w:tc>
      </w:tr>
      <w:tr w:rsidR="00254211" w:rsidRPr="00A96408" w14:paraId="27A5DCBD" w14:textId="77777777" w:rsidTr="00582320">
        <w:tc>
          <w:tcPr>
            <w:tcW w:w="2250" w:type="dxa"/>
          </w:tcPr>
          <w:p w14:paraId="70F30ECF" w14:textId="616AE0C1" w:rsidR="00254211" w:rsidRDefault="00254211" w:rsidP="00254211">
            <w:pPr>
              <w:pStyle w:val="ListParagraph"/>
              <w:numPr>
                <w:ilvl w:val="0"/>
                <w:numId w:val="2"/>
              </w:numPr>
            </w:pPr>
            <w:r>
              <w:t xml:space="preserve">Faculty Excellence Awards </w:t>
            </w:r>
          </w:p>
          <w:p w14:paraId="412AA8AA" w14:textId="77777777" w:rsidR="00254211" w:rsidRDefault="00254211" w:rsidP="00254211"/>
        </w:tc>
        <w:tc>
          <w:tcPr>
            <w:tcW w:w="8422" w:type="dxa"/>
          </w:tcPr>
          <w:p w14:paraId="1C955335" w14:textId="27D0D2FA" w:rsidR="00254211" w:rsidRDefault="00254211" w:rsidP="00A363BF">
            <w:pPr>
              <w:rPr>
                <w:sz w:val="22"/>
                <w:szCs w:val="22"/>
              </w:rPr>
            </w:pPr>
            <w:r>
              <w:rPr>
                <w:sz w:val="22"/>
                <w:szCs w:val="22"/>
              </w:rPr>
              <w:t>Dr. Joshua Lockyer stated that additional faculty awards should be established by next semester.  There will be multiple categories for faculty excellence awards.  Awards will have separate committees. A meeting with the provost will be held on November 28</w:t>
            </w:r>
            <w:r w:rsidRPr="00254211">
              <w:rPr>
                <w:sz w:val="22"/>
                <w:szCs w:val="22"/>
                <w:vertAlign w:val="superscript"/>
              </w:rPr>
              <w:t>th</w:t>
            </w:r>
            <w:r>
              <w:rPr>
                <w:sz w:val="22"/>
                <w:szCs w:val="22"/>
              </w:rPr>
              <w:t>.</w:t>
            </w:r>
          </w:p>
        </w:tc>
      </w:tr>
      <w:tr w:rsidR="00254211" w:rsidRPr="00A96408" w14:paraId="72E43EDC" w14:textId="77777777" w:rsidTr="00582320">
        <w:tc>
          <w:tcPr>
            <w:tcW w:w="2250" w:type="dxa"/>
          </w:tcPr>
          <w:p w14:paraId="147C8B81" w14:textId="5F67818D" w:rsidR="00254211" w:rsidRDefault="00254211" w:rsidP="00254211">
            <w:pPr>
              <w:pStyle w:val="ListParagraph"/>
              <w:numPr>
                <w:ilvl w:val="0"/>
                <w:numId w:val="2"/>
              </w:numPr>
            </w:pPr>
            <w:r>
              <w:t xml:space="preserve">Sponsored Programs and </w:t>
            </w:r>
            <w:r>
              <w:lastRenderedPageBreak/>
              <w:t>University Initiatives (SPUI)</w:t>
            </w:r>
          </w:p>
        </w:tc>
        <w:tc>
          <w:tcPr>
            <w:tcW w:w="8422" w:type="dxa"/>
          </w:tcPr>
          <w:p w14:paraId="09007DBC" w14:textId="536D70A7" w:rsidR="00254211" w:rsidRDefault="007D0067" w:rsidP="00A363BF">
            <w:pPr>
              <w:rPr>
                <w:sz w:val="22"/>
                <w:szCs w:val="22"/>
              </w:rPr>
            </w:pPr>
            <w:r>
              <w:rPr>
                <w:sz w:val="22"/>
                <w:szCs w:val="22"/>
              </w:rPr>
              <w:lastRenderedPageBreak/>
              <w:t xml:space="preserve">Dr. Rick Massengale, Associate Vice President of Sponsored Programs and University Initiatives, talked about programs, resources, and services available through SPUI.  Focuses are economic development, business development, and entrepreneurial incubation. Greg </w:t>
            </w:r>
            <w:r>
              <w:rPr>
                <w:sz w:val="22"/>
                <w:szCs w:val="22"/>
              </w:rPr>
              <w:lastRenderedPageBreak/>
              <w:t>Crouch discussed grant application assistance.  Ms. Sara Bailey provided a handout listing SPUI services to many of the faculty in attendance and talked about collaboration.  Workshops are offered as well as online grant courses on BlackBoard.</w:t>
            </w:r>
          </w:p>
        </w:tc>
      </w:tr>
      <w:tr w:rsidR="007D4305" w:rsidRPr="00A96408" w14:paraId="380787AE" w14:textId="77777777" w:rsidTr="00582320">
        <w:tc>
          <w:tcPr>
            <w:tcW w:w="2250" w:type="dxa"/>
          </w:tcPr>
          <w:p w14:paraId="2FC85719" w14:textId="5C41509C" w:rsidR="007D4305" w:rsidRPr="003C6813" w:rsidRDefault="007D4305" w:rsidP="005109F8">
            <w:pPr>
              <w:rPr>
                <w:sz w:val="22"/>
                <w:szCs w:val="22"/>
              </w:rPr>
            </w:pPr>
            <w:r w:rsidRPr="003C6813">
              <w:rPr>
                <w:sz w:val="22"/>
                <w:szCs w:val="22"/>
              </w:rPr>
              <w:lastRenderedPageBreak/>
              <w:t>OLD BUSINESS</w:t>
            </w:r>
          </w:p>
        </w:tc>
        <w:tc>
          <w:tcPr>
            <w:tcW w:w="8422" w:type="dxa"/>
          </w:tcPr>
          <w:p w14:paraId="33C21760" w14:textId="72C3122F" w:rsidR="007D4305" w:rsidRDefault="007D4305" w:rsidP="003B3742">
            <w:pPr>
              <w:rPr>
                <w:sz w:val="22"/>
                <w:szCs w:val="22"/>
              </w:rPr>
            </w:pPr>
          </w:p>
        </w:tc>
      </w:tr>
      <w:tr w:rsidR="007D4305" w:rsidRPr="00A96408" w14:paraId="60957075" w14:textId="77777777" w:rsidTr="00582320">
        <w:tc>
          <w:tcPr>
            <w:tcW w:w="2250" w:type="dxa"/>
          </w:tcPr>
          <w:p w14:paraId="23C02C4F" w14:textId="26291D25" w:rsidR="007D4305" w:rsidRDefault="007D4305" w:rsidP="007D4305">
            <w:pPr>
              <w:pStyle w:val="ListParagraph"/>
              <w:numPr>
                <w:ilvl w:val="0"/>
                <w:numId w:val="5"/>
              </w:numPr>
              <w:rPr>
                <w:sz w:val="22"/>
                <w:szCs w:val="22"/>
              </w:rPr>
            </w:pPr>
            <w:r>
              <w:rPr>
                <w:sz w:val="22"/>
                <w:szCs w:val="22"/>
              </w:rPr>
              <w:t>Faculty sick leave submission</w:t>
            </w:r>
          </w:p>
        </w:tc>
        <w:tc>
          <w:tcPr>
            <w:tcW w:w="8422" w:type="dxa"/>
          </w:tcPr>
          <w:p w14:paraId="1E709875" w14:textId="3A5251CC" w:rsidR="007D4305" w:rsidRDefault="003B3742" w:rsidP="00C86102">
            <w:pPr>
              <w:rPr>
                <w:sz w:val="22"/>
                <w:szCs w:val="22"/>
              </w:rPr>
            </w:pPr>
            <w:r>
              <w:rPr>
                <w:sz w:val="22"/>
                <w:szCs w:val="22"/>
              </w:rPr>
              <w:t>Postponed until next meeting.</w:t>
            </w:r>
          </w:p>
        </w:tc>
      </w:tr>
      <w:tr w:rsidR="00254211" w:rsidRPr="00A96408" w14:paraId="3525E964" w14:textId="77777777" w:rsidTr="00582320">
        <w:tc>
          <w:tcPr>
            <w:tcW w:w="2250" w:type="dxa"/>
          </w:tcPr>
          <w:p w14:paraId="27DF8D0F" w14:textId="5B38FB73" w:rsidR="00254211" w:rsidRDefault="005109F8" w:rsidP="007D4305">
            <w:pPr>
              <w:pStyle w:val="ListParagraph"/>
              <w:numPr>
                <w:ilvl w:val="0"/>
                <w:numId w:val="5"/>
              </w:numPr>
              <w:rPr>
                <w:sz w:val="22"/>
                <w:szCs w:val="22"/>
              </w:rPr>
            </w:pPr>
            <w:r>
              <w:rPr>
                <w:sz w:val="22"/>
                <w:szCs w:val="22"/>
              </w:rPr>
              <w:t>Faculty Salary and Benefits Committee</w:t>
            </w:r>
          </w:p>
        </w:tc>
        <w:tc>
          <w:tcPr>
            <w:tcW w:w="8422" w:type="dxa"/>
          </w:tcPr>
          <w:p w14:paraId="46333285" w14:textId="56CECE88" w:rsidR="00254211" w:rsidRDefault="005109F8" w:rsidP="00C86102">
            <w:pPr>
              <w:rPr>
                <w:sz w:val="22"/>
                <w:szCs w:val="22"/>
              </w:rPr>
            </w:pPr>
            <w:r>
              <w:rPr>
                <w:sz w:val="22"/>
                <w:szCs w:val="22"/>
              </w:rPr>
              <w:t>Dr. David Eshelman reported that members of the committee are in the process of composing a report on salary compression.</w:t>
            </w:r>
          </w:p>
        </w:tc>
      </w:tr>
      <w:tr w:rsidR="007D4305" w:rsidRPr="00A96408" w14:paraId="0B839200" w14:textId="77777777" w:rsidTr="00582320">
        <w:tc>
          <w:tcPr>
            <w:tcW w:w="2250" w:type="dxa"/>
          </w:tcPr>
          <w:p w14:paraId="5C5106F1" w14:textId="18A1910A" w:rsidR="007D4305" w:rsidRDefault="005109F8" w:rsidP="007D4305">
            <w:pPr>
              <w:pStyle w:val="ListParagraph"/>
              <w:numPr>
                <w:ilvl w:val="0"/>
                <w:numId w:val="5"/>
              </w:numPr>
              <w:rPr>
                <w:sz w:val="22"/>
                <w:szCs w:val="22"/>
              </w:rPr>
            </w:pPr>
            <w:r>
              <w:rPr>
                <w:sz w:val="22"/>
                <w:szCs w:val="22"/>
              </w:rPr>
              <w:t>Adjunct Support</w:t>
            </w:r>
          </w:p>
        </w:tc>
        <w:tc>
          <w:tcPr>
            <w:tcW w:w="8422" w:type="dxa"/>
          </w:tcPr>
          <w:p w14:paraId="2B843F77" w14:textId="0EBCD092" w:rsidR="007D4305" w:rsidRDefault="005109F8" w:rsidP="009F7335">
            <w:pPr>
              <w:rPr>
                <w:sz w:val="22"/>
                <w:szCs w:val="22"/>
              </w:rPr>
            </w:pPr>
            <w:r>
              <w:rPr>
                <w:sz w:val="22"/>
                <w:szCs w:val="22"/>
              </w:rPr>
              <w:t>Ms. Jennifer McNeely reported that a survey of adjunct instructors has been completed.  The survey indicates that top concerns among adjunct professors are pay, job security, and tuition discount for the adjuncts themselves. A report documenting the results of the survey should be available next month. Dr. Eshelman moved and Shellie Hanna seconded</w:t>
            </w:r>
            <w:r w:rsidR="009F7335">
              <w:rPr>
                <w:sz w:val="22"/>
                <w:szCs w:val="22"/>
              </w:rPr>
              <w:t xml:space="preserve"> the motion</w:t>
            </w:r>
            <w:r>
              <w:rPr>
                <w:sz w:val="22"/>
                <w:szCs w:val="22"/>
              </w:rPr>
              <w:t xml:space="preserve"> that </w:t>
            </w:r>
            <w:r w:rsidR="009F7335">
              <w:rPr>
                <w:sz w:val="22"/>
                <w:szCs w:val="22"/>
              </w:rPr>
              <w:t>adjunct faculty be included in General Education, Library and Materials, and Student Affairs committees as well as sexual assault advocacy training.  Motion passed.</w:t>
            </w:r>
          </w:p>
        </w:tc>
      </w:tr>
      <w:tr w:rsidR="007D4305" w:rsidRPr="00A96408" w14:paraId="3E4137BF" w14:textId="77777777" w:rsidTr="00582320">
        <w:tc>
          <w:tcPr>
            <w:tcW w:w="2250" w:type="dxa"/>
          </w:tcPr>
          <w:p w14:paraId="4FDD485E" w14:textId="02451F7A" w:rsidR="007D4305" w:rsidRDefault="009F7335" w:rsidP="007D4305">
            <w:pPr>
              <w:pStyle w:val="ListParagraph"/>
              <w:numPr>
                <w:ilvl w:val="0"/>
                <w:numId w:val="5"/>
              </w:numPr>
              <w:rPr>
                <w:sz w:val="22"/>
                <w:szCs w:val="22"/>
              </w:rPr>
            </w:pPr>
            <w:r>
              <w:rPr>
                <w:sz w:val="22"/>
                <w:szCs w:val="22"/>
              </w:rPr>
              <w:t>Dog Policy</w:t>
            </w:r>
          </w:p>
        </w:tc>
        <w:tc>
          <w:tcPr>
            <w:tcW w:w="8422" w:type="dxa"/>
          </w:tcPr>
          <w:p w14:paraId="772E174F" w14:textId="0CCDDE73" w:rsidR="007D4305" w:rsidRDefault="009F7335" w:rsidP="00C86102">
            <w:pPr>
              <w:rPr>
                <w:sz w:val="22"/>
                <w:szCs w:val="22"/>
              </w:rPr>
            </w:pPr>
            <w:r>
              <w:rPr>
                <w:sz w:val="22"/>
                <w:szCs w:val="22"/>
              </w:rPr>
              <w:t>After a short discussion, the Faculty Senate voted to drop the university pet policy from further discussion.</w:t>
            </w:r>
          </w:p>
        </w:tc>
      </w:tr>
      <w:tr w:rsidR="007D4305" w:rsidRPr="00A96408" w14:paraId="5D2F71E8" w14:textId="77777777" w:rsidTr="00582320">
        <w:tc>
          <w:tcPr>
            <w:tcW w:w="2250" w:type="dxa"/>
          </w:tcPr>
          <w:p w14:paraId="3E2F1A44" w14:textId="489E209B" w:rsidR="007D4305" w:rsidRDefault="009F7335" w:rsidP="007D4305">
            <w:pPr>
              <w:pStyle w:val="ListParagraph"/>
              <w:numPr>
                <w:ilvl w:val="0"/>
                <w:numId w:val="5"/>
              </w:numPr>
              <w:rPr>
                <w:sz w:val="22"/>
                <w:szCs w:val="22"/>
              </w:rPr>
            </w:pPr>
            <w:r>
              <w:rPr>
                <w:sz w:val="22"/>
                <w:szCs w:val="22"/>
              </w:rPr>
              <w:t>Honor Code</w:t>
            </w:r>
          </w:p>
        </w:tc>
        <w:tc>
          <w:tcPr>
            <w:tcW w:w="8422" w:type="dxa"/>
          </w:tcPr>
          <w:p w14:paraId="300F7CB1" w14:textId="406D1E0B" w:rsidR="007D4305" w:rsidRDefault="009F7335" w:rsidP="00013686">
            <w:pPr>
              <w:rPr>
                <w:sz w:val="22"/>
                <w:szCs w:val="22"/>
              </w:rPr>
            </w:pPr>
            <w:r>
              <w:rPr>
                <w:sz w:val="22"/>
                <w:szCs w:val="22"/>
              </w:rPr>
              <w:t>Dr. Mike Rodgers reported that</w:t>
            </w:r>
            <w:r w:rsidR="00013686">
              <w:rPr>
                <w:sz w:val="22"/>
                <w:szCs w:val="22"/>
              </w:rPr>
              <w:t xml:space="preserve"> the committee has developed an academic integrity policy.  The Faculty Senate is to review the policy.  The goal is to provide consistency in taking action at the university level in cases of academic dishonesty. Dr. Jon Clements moved and Dr. Shellie Hanna seconded the motion for the Faculty Senate to vote on the Code of Academic Integrity next month.  The Code will be distributed to faculty by email.</w:t>
            </w:r>
          </w:p>
        </w:tc>
      </w:tr>
      <w:tr w:rsidR="007D4305" w:rsidRPr="00A96408" w14:paraId="7B368CB4" w14:textId="77777777" w:rsidTr="00582320">
        <w:tc>
          <w:tcPr>
            <w:tcW w:w="2250" w:type="dxa"/>
          </w:tcPr>
          <w:p w14:paraId="08044416" w14:textId="665992F9" w:rsidR="007D4305" w:rsidRDefault="00013686" w:rsidP="007D4305">
            <w:pPr>
              <w:pStyle w:val="ListParagraph"/>
              <w:numPr>
                <w:ilvl w:val="0"/>
                <w:numId w:val="5"/>
              </w:numPr>
              <w:rPr>
                <w:sz w:val="22"/>
                <w:szCs w:val="22"/>
              </w:rPr>
            </w:pPr>
            <w:r>
              <w:rPr>
                <w:sz w:val="22"/>
                <w:szCs w:val="22"/>
              </w:rPr>
              <w:t>Security Camera Policy</w:t>
            </w:r>
          </w:p>
        </w:tc>
        <w:tc>
          <w:tcPr>
            <w:tcW w:w="8422" w:type="dxa"/>
          </w:tcPr>
          <w:p w14:paraId="26B4A54F" w14:textId="7AC02456" w:rsidR="007D4305" w:rsidRDefault="00013686" w:rsidP="00C86102">
            <w:pPr>
              <w:rPr>
                <w:sz w:val="22"/>
                <w:szCs w:val="22"/>
              </w:rPr>
            </w:pPr>
            <w:r>
              <w:rPr>
                <w:sz w:val="22"/>
                <w:szCs w:val="22"/>
              </w:rPr>
              <w:t xml:space="preserve">An extensive policy </w:t>
            </w:r>
            <w:r w:rsidR="009E55BE">
              <w:rPr>
                <w:sz w:val="22"/>
                <w:szCs w:val="22"/>
              </w:rPr>
              <w:t xml:space="preserve">is available on the Office of Information Systems web site.  Dr. Jack Tucci moved and Dr. David Eshelman seconded a motion to remove this item from old business, but keep the policy. </w:t>
            </w:r>
          </w:p>
        </w:tc>
      </w:tr>
      <w:tr w:rsidR="00A432B5" w:rsidRPr="00A96408" w14:paraId="3A880A94" w14:textId="77777777" w:rsidTr="00582320">
        <w:tc>
          <w:tcPr>
            <w:tcW w:w="2250" w:type="dxa"/>
          </w:tcPr>
          <w:p w14:paraId="73F29067" w14:textId="4569B4C7" w:rsidR="00A432B5" w:rsidRDefault="00A432B5" w:rsidP="009E55BE">
            <w:pPr>
              <w:pStyle w:val="ListParagraph"/>
              <w:rPr>
                <w:sz w:val="22"/>
                <w:szCs w:val="22"/>
              </w:rPr>
            </w:pPr>
          </w:p>
        </w:tc>
        <w:tc>
          <w:tcPr>
            <w:tcW w:w="8422" w:type="dxa"/>
          </w:tcPr>
          <w:p w14:paraId="3B9ABE6C" w14:textId="48657F3B" w:rsidR="005F5905" w:rsidRDefault="005F5905" w:rsidP="00013686">
            <w:pPr>
              <w:rPr>
                <w:sz w:val="22"/>
                <w:szCs w:val="22"/>
              </w:rPr>
            </w:pP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t>OPEN FORUM</w:t>
            </w:r>
          </w:p>
        </w:tc>
        <w:tc>
          <w:tcPr>
            <w:tcW w:w="8422" w:type="dxa"/>
          </w:tcPr>
          <w:p w14:paraId="793882F0" w14:textId="33A10D30" w:rsidR="005F5905" w:rsidRDefault="009E55BE" w:rsidP="005F5905">
            <w:pPr>
              <w:rPr>
                <w:sz w:val="22"/>
                <w:szCs w:val="22"/>
              </w:rPr>
            </w:pPr>
            <w:r>
              <w:rPr>
                <w:sz w:val="22"/>
                <w:szCs w:val="22"/>
              </w:rPr>
              <w:t>Dr. Jon Clements described a situation where a student twisted a knee but could not be seen by the campus health center for several days and then had to have an appointment.  Dr. Clements suggested that the university should have the capacity to provide urgent care.  Currently students in need of urgent care go to a commercial urgent care provider on Main Street or the hospital emergency room, often at considerable expense to themselves.  Dr. Carey Ellis agreed that students are not being well served and care access needs improvement on campus.  Dr. Sarah Stein reported that if faculty call the health center they can sometimes get a student in that would otherwise be turned away.  Senators suggested a speaker be invited next month to address this issue.</w:t>
            </w:r>
          </w:p>
          <w:p w14:paraId="45B7DCB7" w14:textId="43CCADC0" w:rsidR="00115A81" w:rsidRDefault="00115A81" w:rsidP="009E55BE">
            <w:pPr>
              <w:rPr>
                <w:sz w:val="22"/>
                <w:szCs w:val="22"/>
              </w:rPr>
            </w:pP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39631587" w14:textId="62DBAC76" w:rsidR="00115A81" w:rsidRPr="009A4417" w:rsidRDefault="00115A81" w:rsidP="009E55BE">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bookmarkStart w:id="0" w:name="_GoBack"/>
            <w:bookmarkEnd w:id="0"/>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45F450B8" w:rsidR="00FE3C78" w:rsidRPr="00EA4F61" w:rsidRDefault="00572A62"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w:t>
            </w:r>
            <w:r w:rsidR="009E55BE">
              <w:rPr>
                <w:sz w:val="22"/>
                <w:szCs w:val="22"/>
              </w:rPr>
              <w:t>4:31</w:t>
            </w:r>
            <w:r w:rsidR="00EC7B80">
              <w:rPr>
                <w:sz w:val="22"/>
                <w:szCs w:val="22"/>
              </w:rPr>
              <w:t>.</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3B7F17CC"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15C0BDE3" w14:textId="77777777" w:rsidR="000F6A6F" w:rsidRDefault="000F6A6F" w:rsidP="001C743E">
      <w:pPr>
        <w:rPr>
          <w:sz w:val="22"/>
          <w:szCs w:val="22"/>
        </w:rPr>
      </w:pP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lastRenderedPageBreak/>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7777777" w:rsidR="005A0947" w:rsidRDefault="00CC17A3" w:rsidP="00C80A4F">
      <w:pPr>
        <w:ind w:left="5760" w:firstLine="720"/>
        <w:rPr>
          <w:sz w:val="22"/>
          <w:szCs w:val="22"/>
        </w:rPr>
      </w:pPr>
      <w:r>
        <w:rPr>
          <w:sz w:val="22"/>
          <w:szCs w:val="22"/>
        </w:rPr>
        <w:t>Glen R. Bishop</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E92" w14:textId="77777777" w:rsidR="00F57130" w:rsidRDefault="00F57130" w:rsidP="00B41CE9">
      <w:r>
        <w:separator/>
      </w:r>
    </w:p>
  </w:endnote>
  <w:endnote w:type="continuationSeparator" w:id="0">
    <w:p w14:paraId="2D9AF13E" w14:textId="77777777" w:rsidR="00F57130" w:rsidRDefault="00F57130"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A95D" w14:textId="77777777" w:rsidR="00F57130" w:rsidRDefault="00F57130" w:rsidP="00B41CE9">
      <w:r>
        <w:separator/>
      </w:r>
    </w:p>
  </w:footnote>
  <w:footnote w:type="continuationSeparator" w:id="0">
    <w:p w14:paraId="29BDEE8C" w14:textId="77777777" w:rsidR="00F57130" w:rsidRDefault="00F57130"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5786DD0F" w:rsidR="00E21D0B" w:rsidRDefault="00BC140A" w:rsidP="00223EC1">
    <w:pPr>
      <w:tabs>
        <w:tab w:val="left" w:pos="3963"/>
        <w:tab w:val="left" w:pos="9900"/>
      </w:tabs>
    </w:pPr>
    <w:sdt>
      <w:sdtPr>
        <w:id w:val="360478815"/>
        <w:docPartObj>
          <w:docPartGallery w:val="Watermarks"/>
          <w:docPartUnique/>
        </w:docPartObj>
      </w:sdtPr>
      <w:sdtEndPr/>
      <w:sdtContent>
        <w:r>
          <w:rPr>
            <w:noProof/>
          </w:rPr>
          <w:pict w14:anchorId="06AB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1D0B">
      <w:t>T</w:t>
    </w:r>
    <w:r w:rsidR="00A2006B">
      <w:t>he Faculty Senate – October 9</w:t>
    </w:r>
    <w:r w:rsidR="000D1B89">
      <w:t>, 2018</w:t>
    </w:r>
    <w:r w:rsidR="00E21D0B">
      <w:tab/>
    </w:r>
    <w:r w:rsidR="00223EC1">
      <w:tab/>
    </w:r>
    <w:r w:rsidR="00E21D0B">
      <w:fldChar w:fldCharType="begin"/>
    </w:r>
    <w:r w:rsidR="00E21D0B">
      <w:instrText xml:space="preserve"> PAGE   \* MERGEFORMAT </w:instrText>
    </w:r>
    <w:r w:rsidR="00E21D0B">
      <w:fldChar w:fldCharType="separate"/>
    </w:r>
    <w:r>
      <w:rPr>
        <w:noProof/>
      </w:rPr>
      <w:t>4</w:t>
    </w:r>
    <w:r w:rsidR="00E21D0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7777777" w:rsidR="004C12D9" w:rsidRDefault="00BC140A" w:rsidP="004C12D9">
    <w:pPr>
      <w:tabs>
        <w:tab w:val="left" w:pos="3963"/>
        <w:tab w:val="left" w:pos="9900"/>
      </w:tabs>
    </w:pPr>
    <w:sdt>
      <w:sdtPr>
        <w:id w:val="-555701096"/>
        <w:docPartObj>
          <w:docPartGallery w:val="Watermarks"/>
          <w:docPartUnique/>
        </w:docPartObj>
      </w:sdtPr>
      <w:sdtEndPr/>
      <w:sdtContent>
        <w:r>
          <w:rPr>
            <w:noProof/>
          </w:rPr>
          <w:pict w14:anchorId="7654D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502BC"/>
    <w:multiLevelType w:val="hybridMultilevel"/>
    <w:tmpl w:val="30708658"/>
    <w:lvl w:ilvl="0" w:tplc="55D06424">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2C06"/>
    <w:rsid w:val="00013686"/>
    <w:rsid w:val="000138F2"/>
    <w:rsid w:val="00015F8C"/>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1A0C"/>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D7B9A"/>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6A6F"/>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A81"/>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9FC"/>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6A7"/>
    <w:rsid w:val="002048B6"/>
    <w:rsid w:val="00205CD4"/>
    <w:rsid w:val="00206B42"/>
    <w:rsid w:val="002106D6"/>
    <w:rsid w:val="0021098E"/>
    <w:rsid w:val="00210E02"/>
    <w:rsid w:val="00210F0D"/>
    <w:rsid w:val="00212458"/>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4211"/>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A8"/>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6D6"/>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4F"/>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5DFA"/>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813"/>
    <w:rsid w:val="003C6C57"/>
    <w:rsid w:val="003C7540"/>
    <w:rsid w:val="003D00C7"/>
    <w:rsid w:val="003D1FD0"/>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3C2A"/>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2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57D84"/>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9F8"/>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175F"/>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97CAD"/>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5905"/>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46F"/>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2CF"/>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628"/>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3553"/>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483"/>
    <w:rsid w:val="0079064D"/>
    <w:rsid w:val="00790AF7"/>
    <w:rsid w:val="007915F3"/>
    <w:rsid w:val="00792156"/>
    <w:rsid w:val="0079260D"/>
    <w:rsid w:val="007926A8"/>
    <w:rsid w:val="007932A4"/>
    <w:rsid w:val="0079411E"/>
    <w:rsid w:val="007943F0"/>
    <w:rsid w:val="00795768"/>
    <w:rsid w:val="007A055D"/>
    <w:rsid w:val="007A0E40"/>
    <w:rsid w:val="007A1214"/>
    <w:rsid w:val="007A2A68"/>
    <w:rsid w:val="007A335D"/>
    <w:rsid w:val="007A3D42"/>
    <w:rsid w:val="007A5DCA"/>
    <w:rsid w:val="007A6361"/>
    <w:rsid w:val="007A7849"/>
    <w:rsid w:val="007A7B95"/>
    <w:rsid w:val="007B416A"/>
    <w:rsid w:val="007B4482"/>
    <w:rsid w:val="007B5179"/>
    <w:rsid w:val="007B654E"/>
    <w:rsid w:val="007B6E0C"/>
    <w:rsid w:val="007C1AD2"/>
    <w:rsid w:val="007C22B8"/>
    <w:rsid w:val="007C2A69"/>
    <w:rsid w:val="007C3994"/>
    <w:rsid w:val="007C5189"/>
    <w:rsid w:val="007C55FA"/>
    <w:rsid w:val="007C7B06"/>
    <w:rsid w:val="007C7C45"/>
    <w:rsid w:val="007D0067"/>
    <w:rsid w:val="007D1C35"/>
    <w:rsid w:val="007D1C88"/>
    <w:rsid w:val="007D2693"/>
    <w:rsid w:val="007D4305"/>
    <w:rsid w:val="007D49E5"/>
    <w:rsid w:val="007D4F72"/>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2A6"/>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5C0F"/>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18EE"/>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5BE"/>
    <w:rsid w:val="009E5BB5"/>
    <w:rsid w:val="009E5C0E"/>
    <w:rsid w:val="009E705E"/>
    <w:rsid w:val="009E73F0"/>
    <w:rsid w:val="009E745C"/>
    <w:rsid w:val="009F0180"/>
    <w:rsid w:val="009F2EE0"/>
    <w:rsid w:val="009F3163"/>
    <w:rsid w:val="009F4BF6"/>
    <w:rsid w:val="009F5019"/>
    <w:rsid w:val="009F523F"/>
    <w:rsid w:val="009F5FCE"/>
    <w:rsid w:val="009F6342"/>
    <w:rsid w:val="009F70EF"/>
    <w:rsid w:val="009F7335"/>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06B"/>
    <w:rsid w:val="00A20532"/>
    <w:rsid w:val="00A2087F"/>
    <w:rsid w:val="00A20AAE"/>
    <w:rsid w:val="00A21CEE"/>
    <w:rsid w:val="00A242C4"/>
    <w:rsid w:val="00A24B19"/>
    <w:rsid w:val="00A2629B"/>
    <w:rsid w:val="00A26DD7"/>
    <w:rsid w:val="00A26E45"/>
    <w:rsid w:val="00A30A9C"/>
    <w:rsid w:val="00A320EA"/>
    <w:rsid w:val="00A32AC7"/>
    <w:rsid w:val="00A32B50"/>
    <w:rsid w:val="00A33CB1"/>
    <w:rsid w:val="00A3627A"/>
    <w:rsid w:val="00A363BF"/>
    <w:rsid w:val="00A3687A"/>
    <w:rsid w:val="00A37214"/>
    <w:rsid w:val="00A42C40"/>
    <w:rsid w:val="00A432B5"/>
    <w:rsid w:val="00A44351"/>
    <w:rsid w:val="00A45280"/>
    <w:rsid w:val="00A4549A"/>
    <w:rsid w:val="00A4636B"/>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5D01"/>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12"/>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3D64"/>
    <w:rsid w:val="00B13F52"/>
    <w:rsid w:val="00B146CF"/>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1399"/>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140A"/>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343"/>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69DE"/>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6B7D"/>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2CFE"/>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580"/>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56D4F"/>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C7B80"/>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130"/>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765A-67AD-4B43-B707-CFF69AA0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2</cp:revision>
  <cp:lastPrinted>2018-08-21T22:00:00Z</cp:lastPrinted>
  <dcterms:created xsi:type="dcterms:W3CDTF">2018-11-29T13:49:00Z</dcterms:created>
  <dcterms:modified xsi:type="dcterms:W3CDTF">2018-11-29T13:49:00Z</dcterms:modified>
</cp:coreProperties>
</file>