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08" w:rsidRDefault="002F2772" w:rsidP="002F2772">
      <w:pPr>
        <w:spacing w:after="0" w:line="240" w:lineRule="auto"/>
        <w:jc w:val="center"/>
        <w:rPr>
          <w:b/>
        </w:rPr>
      </w:pPr>
      <w:bookmarkStart w:id="0" w:name="_GoBack"/>
      <w:bookmarkEnd w:id="0"/>
      <w:r>
        <w:rPr>
          <w:b/>
        </w:rPr>
        <w:t>AGENDA</w:t>
      </w:r>
    </w:p>
    <w:p w:rsidR="002F2772" w:rsidRDefault="002F2772" w:rsidP="002F2772">
      <w:pPr>
        <w:spacing w:after="0" w:line="240" w:lineRule="auto"/>
        <w:jc w:val="center"/>
        <w:rPr>
          <w:b/>
        </w:rPr>
      </w:pPr>
      <w:r>
        <w:rPr>
          <w:b/>
        </w:rPr>
        <w:t>FACULTY SENATE</w:t>
      </w:r>
    </w:p>
    <w:p w:rsidR="002F2772" w:rsidRDefault="002F2772" w:rsidP="002F2772">
      <w:pPr>
        <w:spacing w:after="0" w:line="240" w:lineRule="auto"/>
        <w:jc w:val="center"/>
        <w:rPr>
          <w:b/>
        </w:rPr>
      </w:pPr>
      <w:r>
        <w:rPr>
          <w:b/>
        </w:rPr>
        <w:t>Tuesday, September 11, 2018</w:t>
      </w:r>
    </w:p>
    <w:p w:rsidR="002F2772" w:rsidRDefault="00764C84" w:rsidP="002F2772">
      <w:pPr>
        <w:spacing w:after="0" w:line="240" w:lineRule="auto"/>
        <w:jc w:val="center"/>
        <w:rPr>
          <w:b/>
        </w:rPr>
      </w:pPr>
      <w:r>
        <w:rPr>
          <w:b/>
        </w:rPr>
        <w:t>Rothwell</w:t>
      </w:r>
      <w:r w:rsidR="002F2772">
        <w:rPr>
          <w:b/>
        </w:rPr>
        <w:t xml:space="preserve"> 456</w:t>
      </w:r>
    </w:p>
    <w:p w:rsidR="002F2772" w:rsidRDefault="002F2772" w:rsidP="002F2772">
      <w:pPr>
        <w:spacing w:after="0" w:line="240" w:lineRule="auto"/>
        <w:jc w:val="center"/>
        <w:rPr>
          <w:b/>
        </w:rPr>
      </w:pPr>
    </w:p>
    <w:p w:rsidR="002F2772" w:rsidRDefault="002F2772" w:rsidP="002F2772">
      <w:pPr>
        <w:pStyle w:val="ListParagraph"/>
        <w:numPr>
          <w:ilvl w:val="0"/>
          <w:numId w:val="2"/>
        </w:numPr>
        <w:spacing w:after="0" w:line="240" w:lineRule="auto"/>
      </w:pPr>
      <w:r>
        <w:t>Call to Order</w:t>
      </w:r>
    </w:p>
    <w:p w:rsidR="002F2772" w:rsidRDefault="002F2772" w:rsidP="002F2772">
      <w:pPr>
        <w:pStyle w:val="ListParagraph"/>
        <w:numPr>
          <w:ilvl w:val="1"/>
          <w:numId w:val="2"/>
        </w:numPr>
        <w:spacing w:after="0" w:line="240" w:lineRule="auto"/>
      </w:pPr>
      <w:r>
        <w:t>Approval of the minutes from August 21, 2018</w:t>
      </w:r>
    </w:p>
    <w:p w:rsidR="00206D0E" w:rsidRDefault="00206D0E" w:rsidP="002F2772">
      <w:pPr>
        <w:pStyle w:val="ListParagraph"/>
        <w:numPr>
          <w:ilvl w:val="1"/>
          <w:numId w:val="2"/>
        </w:numPr>
        <w:spacing w:after="0" w:line="240" w:lineRule="auto"/>
      </w:pPr>
      <w:r>
        <w:t>VPAA update</w:t>
      </w:r>
    </w:p>
    <w:p w:rsidR="002F2772" w:rsidRDefault="002F2772" w:rsidP="002F2772">
      <w:pPr>
        <w:pStyle w:val="ListParagraph"/>
        <w:spacing w:after="0" w:line="240" w:lineRule="auto"/>
        <w:ind w:left="1440"/>
      </w:pPr>
    </w:p>
    <w:p w:rsidR="002F2772" w:rsidRDefault="002F2772" w:rsidP="002F2772">
      <w:pPr>
        <w:pStyle w:val="ListParagraph"/>
        <w:numPr>
          <w:ilvl w:val="0"/>
          <w:numId w:val="2"/>
        </w:numPr>
        <w:spacing w:after="0" w:line="240" w:lineRule="auto"/>
      </w:pPr>
      <w:r>
        <w:t>New Business</w:t>
      </w:r>
    </w:p>
    <w:p w:rsidR="00371E71" w:rsidRDefault="00223849" w:rsidP="007A75DF">
      <w:pPr>
        <w:pStyle w:val="ListParagraph"/>
        <w:numPr>
          <w:ilvl w:val="1"/>
          <w:numId w:val="2"/>
        </w:numPr>
        <w:spacing w:after="0" w:line="240" w:lineRule="auto"/>
      </w:pPr>
      <w:r>
        <w:t xml:space="preserve">Curricular items </w:t>
      </w:r>
    </w:p>
    <w:p w:rsidR="00223849" w:rsidRDefault="00223849" w:rsidP="007A75DF">
      <w:pPr>
        <w:pStyle w:val="ListParagraph"/>
        <w:numPr>
          <w:ilvl w:val="1"/>
          <w:numId w:val="2"/>
        </w:numPr>
        <w:spacing w:after="0" w:line="240" w:lineRule="auto"/>
      </w:pPr>
      <w:r>
        <w:t>Arkansas Governor’s School</w:t>
      </w:r>
    </w:p>
    <w:p w:rsidR="00371E71" w:rsidRDefault="00371E71" w:rsidP="007A75DF">
      <w:pPr>
        <w:pStyle w:val="ListParagraph"/>
        <w:numPr>
          <w:ilvl w:val="1"/>
          <w:numId w:val="2"/>
        </w:numPr>
        <w:spacing w:after="0" w:line="240" w:lineRule="auto"/>
      </w:pPr>
      <w:r>
        <w:t>Committee on Adjunct Support</w:t>
      </w:r>
    </w:p>
    <w:p w:rsidR="00223849" w:rsidRDefault="00223849" w:rsidP="00206D0E">
      <w:pPr>
        <w:pStyle w:val="ListParagraph"/>
        <w:numPr>
          <w:ilvl w:val="1"/>
          <w:numId w:val="2"/>
        </w:numPr>
        <w:spacing w:after="0" w:line="240" w:lineRule="auto"/>
      </w:pPr>
      <w:r>
        <w:t>Insurance update</w:t>
      </w:r>
    </w:p>
    <w:p w:rsidR="00206D0E" w:rsidRDefault="00206D0E" w:rsidP="00206D0E">
      <w:pPr>
        <w:pStyle w:val="ListParagraph"/>
        <w:numPr>
          <w:ilvl w:val="1"/>
          <w:numId w:val="2"/>
        </w:numPr>
        <w:spacing w:after="0" w:line="240" w:lineRule="auto"/>
      </w:pPr>
      <w:r>
        <w:t>Date Change for December Meeting</w:t>
      </w:r>
      <w:r w:rsidR="00223849">
        <w:br/>
      </w:r>
    </w:p>
    <w:p w:rsidR="002F2772" w:rsidRDefault="002F2772" w:rsidP="002F2772">
      <w:pPr>
        <w:pStyle w:val="ListParagraph"/>
        <w:numPr>
          <w:ilvl w:val="0"/>
          <w:numId w:val="2"/>
        </w:numPr>
        <w:spacing w:after="0" w:line="240" w:lineRule="auto"/>
      </w:pPr>
      <w:r>
        <w:t>Old Business</w:t>
      </w:r>
    </w:p>
    <w:p w:rsidR="002F2772" w:rsidRDefault="002F2772" w:rsidP="002F2772">
      <w:pPr>
        <w:pStyle w:val="ListParagraph"/>
        <w:numPr>
          <w:ilvl w:val="1"/>
          <w:numId w:val="2"/>
        </w:numPr>
        <w:spacing w:after="0" w:line="240" w:lineRule="auto"/>
      </w:pPr>
      <w:r>
        <w:t>FE for Excessive Absences policy – Tammy Weaver</w:t>
      </w:r>
    </w:p>
    <w:p w:rsidR="0007119A" w:rsidRDefault="0007119A" w:rsidP="0007119A">
      <w:pPr>
        <w:pStyle w:val="ListParagraph"/>
        <w:numPr>
          <w:ilvl w:val="1"/>
          <w:numId w:val="2"/>
        </w:numPr>
        <w:spacing w:after="0" w:line="240" w:lineRule="auto"/>
      </w:pPr>
      <w:r>
        <w:t>Email confirmation of grade submission</w:t>
      </w:r>
    </w:p>
    <w:p w:rsidR="002F2772" w:rsidRDefault="002F2772" w:rsidP="002F2772">
      <w:pPr>
        <w:pStyle w:val="ListParagraph"/>
        <w:numPr>
          <w:ilvl w:val="1"/>
          <w:numId w:val="2"/>
        </w:numPr>
        <w:spacing w:after="0" w:line="240" w:lineRule="auto"/>
      </w:pPr>
      <w:r>
        <w:t>Faculty sick leave submission</w:t>
      </w:r>
    </w:p>
    <w:p w:rsidR="002F2772" w:rsidRDefault="002F2772" w:rsidP="002F2772">
      <w:pPr>
        <w:pStyle w:val="ListParagraph"/>
        <w:numPr>
          <w:ilvl w:val="1"/>
          <w:numId w:val="2"/>
        </w:numPr>
        <w:spacing w:after="0" w:line="240" w:lineRule="auto"/>
      </w:pPr>
      <w:r>
        <w:t>Honor Code/Student Handbook updates</w:t>
      </w:r>
    </w:p>
    <w:p w:rsidR="0007119A" w:rsidRDefault="0007119A" w:rsidP="0007119A">
      <w:pPr>
        <w:pStyle w:val="ListParagraph"/>
        <w:numPr>
          <w:ilvl w:val="1"/>
          <w:numId w:val="2"/>
        </w:numPr>
        <w:spacing w:after="0" w:line="240" w:lineRule="auto"/>
      </w:pPr>
      <w:r>
        <w:t>Faculty Excellence Awards</w:t>
      </w:r>
    </w:p>
    <w:p w:rsidR="002F2772" w:rsidRDefault="0007119A" w:rsidP="00DD4D4E">
      <w:pPr>
        <w:pStyle w:val="ListParagraph"/>
        <w:numPr>
          <w:ilvl w:val="1"/>
          <w:numId w:val="2"/>
        </w:numPr>
        <w:spacing w:after="0" w:line="240" w:lineRule="auto"/>
      </w:pPr>
      <w:r>
        <w:t>Promotion and Tenure P</w:t>
      </w:r>
      <w:r w:rsidR="002F2772">
        <w:t>rocedural</w:t>
      </w:r>
    </w:p>
    <w:p w:rsidR="0007119A" w:rsidRDefault="0007119A" w:rsidP="00DD4D4E">
      <w:pPr>
        <w:pStyle w:val="ListParagraph"/>
        <w:numPr>
          <w:ilvl w:val="1"/>
          <w:numId w:val="2"/>
        </w:numPr>
        <w:spacing w:after="0" w:line="240" w:lineRule="auto"/>
      </w:pPr>
      <w:r>
        <w:t>Meal reimbursement policy</w:t>
      </w:r>
    </w:p>
    <w:p w:rsidR="00206D0E" w:rsidRDefault="00206D0E" w:rsidP="002F2772">
      <w:pPr>
        <w:pStyle w:val="ListParagraph"/>
        <w:numPr>
          <w:ilvl w:val="1"/>
          <w:numId w:val="2"/>
        </w:numPr>
        <w:spacing w:after="0" w:line="240" w:lineRule="auto"/>
      </w:pPr>
      <w:r>
        <w:t>Timely Feedback to Students</w:t>
      </w:r>
    </w:p>
    <w:p w:rsidR="00206D0E" w:rsidRDefault="00206D0E" w:rsidP="002F2772">
      <w:pPr>
        <w:pStyle w:val="ListParagraph"/>
        <w:numPr>
          <w:ilvl w:val="1"/>
          <w:numId w:val="2"/>
        </w:numPr>
        <w:spacing w:after="0" w:line="240" w:lineRule="auto"/>
      </w:pPr>
      <w:r>
        <w:t>Faculty Salary and Benefits Committee Charge</w:t>
      </w:r>
    </w:p>
    <w:p w:rsidR="00206D0E" w:rsidRDefault="00206D0E" w:rsidP="002F2772">
      <w:pPr>
        <w:pStyle w:val="ListParagraph"/>
        <w:numPr>
          <w:ilvl w:val="1"/>
          <w:numId w:val="2"/>
        </w:numPr>
        <w:spacing w:after="0" w:line="240" w:lineRule="auto"/>
      </w:pPr>
      <w:r>
        <w:t>CETL Advisory Board Standing Committee</w:t>
      </w:r>
      <w:r w:rsidR="00223849">
        <w:t xml:space="preserve"> – Dr. Robin Lasey</w:t>
      </w:r>
    </w:p>
    <w:p w:rsidR="00206D0E" w:rsidRDefault="00206D0E" w:rsidP="002F2772">
      <w:pPr>
        <w:pStyle w:val="ListParagraph"/>
        <w:numPr>
          <w:ilvl w:val="1"/>
          <w:numId w:val="2"/>
        </w:numPr>
        <w:spacing w:after="0" w:line="240" w:lineRule="auto"/>
      </w:pPr>
      <w:r>
        <w:t>College Curriculum Committees</w:t>
      </w:r>
    </w:p>
    <w:p w:rsidR="00223849" w:rsidRDefault="00206D0E" w:rsidP="00223849">
      <w:pPr>
        <w:pStyle w:val="ListParagraph"/>
        <w:numPr>
          <w:ilvl w:val="1"/>
          <w:numId w:val="2"/>
        </w:numPr>
        <w:spacing w:after="0" w:line="240" w:lineRule="auto"/>
      </w:pPr>
      <w:r>
        <w:t>Budget Office/SPUI and Grant Facilitation</w:t>
      </w:r>
    </w:p>
    <w:p w:rsidR="00223849" w:rsidRDefault="00223849" w:rsidP="00223849">
      <w:pPr>
        <w:pStyle w:val="ListParagraph"/>
        <w:numPr>
          <w:ilvl w:val="1"/>
          <w:numId w:val="2"/>
        </w:numPr>
        <w:spacing w:after="0" w:line="240" w:lineRule="auto"/>
      </w:pPr>
      <w:r>
        <w:t>Indirect Costs</w:t>
      </w:r>
    </w:p>
    <w:p w:rsidR="0007119A" w:rsidRDefault="0007119A" w:rsidP="00223849">
      <w:pPr>
        <w:pStyle w:val="ListParagraph"/>
        <w:numPr>
          <w:ilvl w:val="1"/>
          <w:numId w:val="2"/>
        </w:numPr>
        <w:spacing w:after="0" w:line="240" w:lineRule="auto"/>
      </w:pPr>
      <w:r>
        <w:t xml:space="preserve">Adjunct Support </w:t>
      </w: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numPr>
          <w:ilvl w:val="0"/>
          <w:numId w:val="2"/>
        </w:numPr>
        <w:spacing w:after="0" w:line="240" w:lineRule="auto"/>
      </w:pPr>
      <w:r>
        <w:t>Open Forum</w:t>
      </w:r>
    </w:p>
    <w:p w:rsidR="0007119A" w:rsidRDefault="0007119A" w:rsidP="0007119A">
      <w:pPr>
        <w:spacing w:after="0" w:line="240" w:lineRule="auto"/>
      </w:pPr>
    </w:p>
    <w:p w:rsidR="0007119A" w:rsidRDefault="0007119A" w:rsidP="0007119A">
      <w:pPr>
        <w:pStyle w:val="ListParagraph"/>
        <w:numPr>
          <w:ilvl w:val="0"/>
          <w:numId w:val="2"/>
        </w:numPr>
        <w:spacing w:after="0" w:line="240" w:lineRule="auto"/>
      </w:pPr>
      <w:r>
        <w:t>Announcement and Information Items</w:t>
      </w:r>
    </w:p>
    <w:p w:rsidR="0007119A" w:rsidRDefault="0007119A" w:rsidP="0007119A">
      <w:pPr>
        <w:spacing w:after="0" w:line="240" w:lineRule="auto"/>
      </w:pPr>
    </w:p>
    <w:p w:rsidR="0007119A" w:rsidRDefault="0007119A" w:rsidP="0007119A">
      <w:pPr>
        <w:pStyle w:val="ListParagraph"/>
        <w:numPr>
          <w:ilvl w:val="0"/>
          <w:numId w:val="2"/>
        </w:numPr>
        <w:spacing w:after="0" w:line="240" w:lineRule="auto"/>
      </w:pPr>
      <w:r>
        <w:t>Adjournment</w:t>
      </w: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33213C" w:rsidRDefault="0033213C" w:rsidP="00223849">
      <w:pPr>
        <w:pStyle w:val="ListParagraph"/>
        <w:spacing w:after="0" w:line="240" w:lineRule="auto"/>
      </w:pPr>
    </w:p>
    <w:p w:rsidR="0033213C" w:rsidRDefault="0033213C"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Pr="009B6275" w:rsidRDefault="00223849" w:rsidP="00223849">
      <w:pPr>
        <w:pStyle w:val="ListParagraph"/>
        <w:numPr>
          <w:ilvl w:val="0"/>
          <w:numId w:val="3"/>
        </w:numPr>
        <w:autoSpaceDE w:val="0"/>
        <w:autoSpaceDN w:val="0"/>
        <w:adjustRightInd w:val="0"/>
        <w:spacing w:after="0" w:line="240" w:lineRule="auto"/>
        <w:rPr>
          <w:rFonts w:asciiTheme="minorHAnsi" w:hAnsiTheme="minorHAnsi"/>
          <w:sz w:val="22"/>
          <w:szCs w:val="22"/>
        </w:rPr>
      </w:pPr>
      <w:r w:rsidRPr="009B6275">
        <w:rPr>
          <w:rFonts w:asciiTheme="minorHAnsi" w:hAnsiTheme="minorHAnsi"/>
          <w:sz w:val="22"/>
          <w:szCs w:val="22"/>
        </w:rPr>
        <w:lastRenderedPageBreak/>
        <w:t>Curricular Items</w:t>
      </w:r>
    </w:p>
    <w:p w:rsidR="00223849" w:rsidRDefault="00223849" w:rsidP="00223849">
      <w:pPr>
        <w:spacing w:after="0"/>
        <w:rPr>
          <w:b/>
        </w:rPr>
      </w:pPr>
    </w:p>
    <w:p w:rsidR="00223849" w:rsidRDefault="00223849" w:rsidP="00223849">
      <w:pPr>
        <w:spacing w:after="0"/>
        <w:ind w:firstLine="360"/>
      </w:pPr>
      <w:r>
        <w:t>College of Arts and Humanities – Department of English and World Languages</w:t>
      </w:r>
    </w:p>
    <w:p w:rsidR="00223849" w:rsidRDefault="00223849" w:rsidP="00223849">
      <w:pPr>
        <w:spacing w:after="0"/>
      </w:pPr>
    </w:p>
    <w:p w:rsidR="00223849" w:rsidRDefault="00223849" w:rsidP="00223849">
      <w:pPr>
        <w:spacing w:after="0"/>
        <w:ind w:left="1440" w:hanging="720"/>
      </w:pPr>
      <w:r>
        <w:t>1.</w:t>
      </w:r>
      <w:r>
        <w:tab/>
        <w:t>Delete SPAN 1063: Basic Spanish for Medical and Social Services, from the course descriptions;</w:t>
      </w:r>
    </w:p>
    <w:p w:rsidR="00223849" w:rsidRDefault="00223849" w:rsidP="00223849">
      <w:pPr>
        <w:spacing w:after="0"/>
        <w:ind w:left="720"/>
      </w:pPr>
      <w:r>
        <w:t>2.</w:t>
      </w:r>
      <w:r>
        <w:tab/>
        <w:t>Add the following courses to the course descriptions:</w:t>
      </w:r>
    </w:p>
    <w:p w:rsidR="00223849" w:rsidRDefault="00223849" w:rsidP="00223849">
      <w:pPr>
        <w:spacing w:after="0"/>
        <w:ind w:left="1440"/>
      </w:pPr>
      <w:r>
        <w:t>a.</w:t>
      </w:r>
      <w:r>
        <w:tab/>
        <w:t>SA 1001-4, 2001-4, 3001-4, and 4001-4: Study Abroad/Study Away;</w:t>
      </w:r>
    </w:p>
    <w:p w:rsidR="00223849" w:rsidRDefault="00223849" w:rsidP="00223849">
      <w:pPr>
        <w:spacing w:after="0"/>
        <w:ind w:left="1440"/>
      </w:pPr>
      <w:r>
        <w:t>b.</w:t>
      </w:r>
      <w:r>
        <w:tab/>
        <w:t>SPAN 2033: Intermediate Spanish II for Heritage Speakers;</w:t>
      </w:r>
    </w:p>
    <w:p w:rsidR="00223849" w:rsidRDefault="00223849" w:rsidP="00223849">
      <w:pPr>
        <w:spacing w:after="0"/>
        <w:ind w:left="1440"/>
      </w:pPr>
      <w:r>
        <w:t>c.</w:t>
      </w:r>
      <w:r>
        <w:tab/>
        <w:t>SPAN 2303: Spanish for Medical Interpretation I;</w:t>
      </w:r>
    </w:p>
    <w:p w:rsidR="00223849" w:rsidRDefault="00223849" w:rsidP="00223849">
      <w:pPr>
        <w:spacing w:after="0"/>
        <w:ind w:left="1440"/>
      </w:pPr>
      <w:r>
        <w:t>d.</w:t>
      </w:r>
      <w:r>
        <w:tab/>
        <w:t>SPAN 2313: Spanish for Medical Interpretation II; and</w:t>
      </w:r>
    </w:p>
    <w:p w:rsidR="00223849" w:rsidRDefault="00223849" w:rsidP="00223849">
      <w:pPr>
        <w:spacing w:after="0"/>
        <w:ind w:left="1440"/>
      </w:pPr>
      <w:r>
        <w:t>e.</w:t>
      </w:r>
      <w:r>
        <w:tab/>
        <w:t>SPAN 3233: Introduction to Literature;</w:t>
      </w:r>
    </w:p>
    <w:p w:rsidR="00223849" w:rsidRDefault="00223849" w:rsidP="00223849">
      <w:pPr>
        <w:spacing w:after="0"/>
        <w:ind w:left="1440" w:hanging="720"/>
      </w:pPr>
      <w:r>
        <w:t>3.</w:t>
      </w:r>
      <w:r>
        <w:tab/>
        <w:t>Change the title for ENGL 2063: Advanced Composition: Theory and Practice, to: Introduction to Literary Studies; and modify the course description;</w:t>
      </w:r>
    </w:p>
    <w:p w:rsidR="00223849" w:rsidRDefault="00223849" w:rsidP="00223849">
      <w:pPr>
        <w:spacing w:after="0"/>
        <w:ind w:left="1440" w:hanging="720"/>
      </w:pPr>
      <w:r>
        <w:t>4.</w:t>
      </w:r>
      <w:r>
        <w:tab/>
        <w:t>Change the course number for ENGL 3103: Literary Theory, to: ENGL 4103; and cross list with ENGL 5103;</w:t>
      </w:r>
    </w:p>
    <w:p w:rsidR="00223849" w:rsidRDefault="00223849" w:rsidP="00223849">
      <w:pPr>
        <w:spacing w:after="0"/>
        <w:ind w:left="1440" w:hanging="720"/>
      </w:pPr>
      <w:r>
        <w:t>5.</w:t>
      </w:r>
      <w:r>
        <w:tab/>
        <w:t>Modify the prerequisite for SPAN 4213: Spanish Literature, from: Prerequisite: SPAN 3013: Conversation and Composition II, to: Prerequisite: SPAN 3233: Introduction to Literature;</w:t>
      </w:r>
    </w:p>
    <w:p w:rsidR="00223849" w:rsidRDefault="00223849" w:rsidP="00223849">
      <w:pPr>
        <w:spacing w:after="0"/>
        <w:ind w:left="1440" w:hanging="720"/>
      </w:pPr>
      <w:r>
        <w:t>6.</w:t>
      </w:r>
      <w:r>
        <w:tab/>
        <w:t>Modify the prerequisite for SPAN 4223: Spanish-American Literature, from: Prerequisite: SPAN 3013: Conversation and Composition II, to: Prerequisite: SPAN 3233: Introduction to Literature;</w:t>
      </w:r>
    </w:p>
    <w:p w:rsidR="00223849" w:rsidRDefault="00223849" w:rsidP="00223849">
      <w:pPr>
        <w:spacing w:after="0"/>
        <w:ind w:left="720"/>
      </w:pPr>
      <w:r>
        <w:t>7.</w:t>
      </w:r>
      <w:r>
        <w:tab/>
        <w:t xml:space="preserve">Modify the Curriculum in Bachelor of Fine Arts in Creative Writing, as follows: </w:t>
      </w:r>
    </w:p>
    <w:p w:rsidR="00223849" w:rsidRDefault="00223849" w:rsidP="00223849">
      <w:pPr>
        <w:spacing w:after="0"/>
        <w:ind w:left="720" w:firstLine="720"/>
      </w:pPr>
      <w:r>
        <w:t>a.</w:t>
      </w:r>
      <w:r>
        <w:tab/>
        <w:t xml:space="preserve">Add ENGL 3073: Creative Nonfiction Workshop; and </w:t>
      </w:r>
    </w:p>
    <w:p w:rsidR="00223849" w:rsidRDefault="00223849" w:rsidP="00223849">
      <w:pPr>
        <w:spacing w:after="0"/>
        <w:ind w:left="720" w:firstLine="720"/>
      </w:pPr>
      <w:r>
        <w:t>b.</w:t>
      </w:r>
      <w:r>
        <w:tab/>
        <w:t>Delete 3 hours of upper division English elective;</w:t>
      </w:r>
    </w:p>
    <w:p w:rsidR="00223849" w:rsidRDefault="00223849" w:rsidP="00223849">
      <w:pPr>
        <w:spacing w:after="0"/>
        <w:ind w:left="720"/>
      </w:pPr>
      <w:r>
        <w:t>8.</w:t>
      </w:r>
      <w:r>
        <w:tab/>
        <w:t>Modify the Curriculum in Bachelor of Arts in English, as follows:</w:t>
      </w:r>
    </w:p>
    <w:p w:rsidR="00223849" w:rsidRDefault="00223849" w:rsidP="00223849">
      <w:pPr>
        <w:spacing w:after="0"/>
        <w:ind w:left="720" w:firstLine="720"/>
      </w:pPr>
      <w:r>
        <w:t>a.</w:t>
      </w:r>
      <w:r>
        <w:tab/>
        <w:t>Add ENGL 4103: Literary Theory;</w:t>
      </w:r>
    </w:p>
    <w:p w:rsidR="00223849" w:rsidRDefault="00223849" w:rsidP="00223849">
      <w:pPr>
        <w:spacing w:after="0"/>
        <w:ind w:left="720" w:firstLine="720"/>
      </w:pPr>
      <w:r>
        <w:t>b.</w:t>
      </w:r>
      <w:r>
        <w:tab/>
        <w:t>Delete 3 hours of English elective; and</w:t>
      </w:r>
    </w:p>
    <w:p w:rsidR="00223849" w:rsidRDefault="00223849" w:rsidP="00223849">
      <w:pPr>
        <w:spacing w:after="0"/>
        <w:ind w:left="2160" w:hanging="720"/>
      </w:pPr>
      <w:r>
        <w:t>c.</w:t>
      </w:r>
      <w:r>
        <w:tab/>
        <w:t>Change ENGL 3013: Systems of Grammar, or ENGL 3023: Introduction to Linguistics, to ENGL 3013: Systems of Grammar, ENGL 3023: Introduction to Linguistics, or ENGL 4013: Literary Theory;</w:t>
      </w:r>
    </w:p>
    <w:p w:rsidR="00223849" w:rsidRDefault="00223849" w:rsidP="00223849">
      <w:pPr>
        <w:spacing w:after="0"/>
        <w:ind w:left="720"/>
      </w:pPr>
      <w:r>
        <w:t>9.</w:t>
      </w:r>
      <w:r>
        <w:tab/>
        <w:t>Modify the Curriculum in Bachelor of Arts World Languages – Spanish, as follows:</w:t>
      </w:r>
    </w:p>
    <w:p w:rsidR="00223849" w:rsidRDefault="00223849" w:rsidP="00223849">
      <w:pPr>
        <w:spacing w:after="0"/>
        <w:ind w:left="720" w:firstLine="720"/>
      </w:pPr>
      <w:r>
        <w:t>a.</w:t>
      </w:r>
      <w:r>
        <w:tab/>
        <w:t>Delete 3 hours of Spanish elective;</w:t>
      </w:r>
    </w:p>
    <w:p w:rsidR="00223849" w:rsidRDefault="00223849" w:rsidP="00223849">
      <w:pPr>
        <w:spacing w:after="0"/>
        <w:ind w:left="2160" w:hanging="720"/>
      </w:pPr>
      <w:r>
        <w:t>b.</w:t>
      </w:r>
      <w:r>
        <w:tab/>
        <w:t>Add SPAN 2033: Intermediate Spanish II for Heritage Speakers, as an option to SPAN 2023: Intermediate Spanish II; and</w:t>
      </w:r>
    </w:p>
    <w:p w:rsidR="00223849" w:rsidRDefault="00223849" w:rsidP="00223849">
      <w:pPr>
        <w:spacing w:after="0"/>
        <w:ind w:left="1440"/>
      </w:pPr>
      <w:r>
        <w:t>c.</w:t>
      </w:r>
      <w:r>
        <w:tab/>
        <w:t xml:space="preserve">Add SPAN 3233: Introduction to Literature; and </w:t>
      </w:r>
    </w:p>
    <w:p w:rsidR="00223849" w:rsidRDefault="00223849" w:rsidP="00223849">
      <w:pPr>
        <w:spacing w:after="0"/>
        <w:ind w:left="720"/>
      </w:pPr>
      <w:r>
        <w:t>10.</w:t>
      </w:r>
      <w:r>
        <w:tab/>
        <w:t>Modify the Minor in Creative Writing, as follows:</w:t>
      </w:r>
    </w:p>
    <w:p w:rsidR="00223849" w:rsidRDefault="00223849" w:rsidP="00223849">
      <w:pPr>
        <w:spacing w:after="0"/>
        <w:ind w:left="720" w:firstLine="720"/>
      </w:pPr>
      <w:r>
        <w:t>a.</w:t>
      </w:r>
      <w:r>
        <w:tab/>
        <w:t xml:space="preserve">Add ENGL 3073: Creative Nonfiction Workshop; and </w:t>
      </w:r>
    </w:p>
    <w:p w:rsidR="00223849" w:rsidRDefault="00223849" w:rsidP="00223849">
      <w:pPr>
        <w:spacing w:after="0"/>
        <w:ind w:left="720" w:firstLine="720"/>
      </w:pPr>
      <w:r>
        <w:t>b.</w:t>
      </w:r>
      <w:r>
        <w:tab/>
        <w:t xml:space="preserve">Change the statement regarding 9 hours of selected electives to 6 hours; </w:t>
      </w:r>
    </w:p>
    <w:p w:rsidR="00223849" w:rsidRDefault="00223849" w:rsidP="00223849">
      <w:pPr>
        <w:spacing w:after="0"/>
        <w:ind w:left="720"/>
      </w:pPr>
      <w:r>
        <w:t>11.</w:t>
      </w:r>
      <w:r>
        <w:tab/>
        <w:t>Modify the Minor in Spanish for Medical Interpretation, as follows:</w:t>
      </w:r>
    </w:p>
    <w:p w:rsidR="00223849" w:rsidRDefault="00223849" w:rsidP="00223849">
      <w:pPr>
        <w:spacing w:after="0"/>
        <w:ind w:left="720" w:firstLine="720"/>
      </w:pPr>
      <w:r>
        <w:t>a.</w:t>
      </w:r>
      <w:r>
        <w:tab/>
        <w:t xml:space="preserve">Delete the following courses: </w:t>
      </w:r>
    </w:p>
    <w:p w:rsidR="00223849" w:rsidRDefault="00223849" w:rsidP="00223849">
      <w:pPr>
        <w:spacing w:after="0"/>
        <w:ind w:left="1440" w:firstLine="720"/>
      </w:pPr>
      <w:r>
        <w:t>SPAN 1063: Basic Spanish for Medical and Social Services;</w:t>
      </w:r>
    </w:p>
    <w:p w:rsidR="00223849" w:rsidRDefault="00223849" w:rsidP="00223849">
      <w:pPr>
        <w:spacing w:after="0"/>
        <w:ind w:left="1440" w:firstLine="720"/>
      </w:pPr>
      <w:r>
        <w:lastRenderedPageBreak/>
        <w:t>SPAN 2013: Intermediate Spanish I; and</w:t>
      </w:r>
    </w:p>
    <w:p w:rsidR="00223849" w:rsidRDefault="00223849" w:rsidP="00223849">
      <w:pPr>
        <w:spacing w:after="0"/>
        <w:ind w:left="1440" w:firstLine="720"/>
      </w:pPr>
      <w:r>
        <w:t>SPAN 2023: Intermediate Spanish II; and</w:t>
      </w:r>
    </w:p>
    <w:p w:rsidR="00223849" w:rsidRDefault="00223849" w:rsidP="00223849">
      <w:pPr>
        <w:spacing w:after="0"/>
        <w:ind w:left="720" w:firstLine="720"/>
      </w:pPr>
      <w:r>
        <w:t>b.</w:t>
      </w:r>
      <w:r>
        <w:tab/>
        <w:t>Add the following courses:</w:t>
      </w:r>
    </w:p>
    <w:p w:rsidR="00223849" w:rsidRDefault="00223849" w:rsidP="00223849">
      <w:pPr>
        <w:spacing w:after="0"/>
        <w:ind w:left="2160"/>
      </w:pPr>
      <w:r>
        <w:t>SPAN 2303: Spanish for Medical Interpretation I;</w:t>
      </w:r>
    </w:p>
    <w:p w:rsidR="00223849" w:rsidRDefault="00223849" w:rsidP="00223849">
      <w:pPr>
        <w:spacing w:after="0"/>
        <w:ind w:left="2160"/>
      </w:pPr>
      <w:r>
        <w:t>SPAN 2313: Spanish for Medical Interpretation II; and</w:t>
      </w:r>
    </w:p>
    <w:p w:rsidR="00223849" w:rsidRDefault="00223849" w:rsidP="00223849">
      <w:pPr>
        <w:spacing w:after="0"/>
        <w:ind w:left="2160"/>
      </w:pPr>
      <w:r>
        <w:t xml:space="preserve">SPAN 3233: Introduction to Literature; </w:t>
      </w:r>
    </w:p>
    <w:p w:rsidR="00223849" w:rsidRDefault="00223849" w:rsidP="00223849">
      <w:pPr>
        <w:spacing w:after="0"/>
        <w:ind w:left="720"/>
      </w:pPr>
      <w:r>
        <w:t>12.</w:t>
      </w:r>
      <w:r>
        <w:tab/>
        <w:t xml:space="preserve">Add the Certificate of Proficiency in Spanish for Medical Interpretation; and </w:t>
      </w:r>
    </w:p>
    <w:p w:rsidR="00223849" w:rsidRDefault="00223849" w:rsidP="00223849">
      <w:pPr>
        <w:spacing w:after="0"/>
        <w:ind w:left="720"/>
      </w:pPr>
      <w:r>
        <w:t>13.</w:t>
      </w:r>
      <w:r>
        <w:tab/>
        <w:t>Add the Certificate of Proficiency in Teaching English to Speakers of Other Languages.</w:t>
      </w:r>
    </w:p>
    <w:p w:rsidR="00223849" w:rsidRDefault="00223849" w:rsidP="00223849">
      <w:pPr>
        <w:spacing w:after="0"/>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223849" w:rsidRDefault="00223849" w:rsidP="00223849">
      <w:pPr>
        <w:pStyle w:val="ListParagraph"/>
        <w:spacing w:after="0" w:line="240" w:lineRule="auto"/>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pStyle w:val="ListParagraph"/>
        <w:numPr>
          <w:ilvl w:val="0"/>
          <w:numId w:val="3"/>
        </w:numPr>
        <w:spacing w:after="0" w:line="240" w:lineRule="auto"/>
      </w:pPr>
      <w:r>
        <w:t>Committee on Adjunct Support</w:t>
      </w:r>
    </w:p>
    <w:p w:rsidR="00371E71" w:rsidRDefault="00371E71" w:rsidP="00371E71">
      <w:pPr>
        <w:spacing w:after="0" w:line="240" w:lineRule="auto"/>
        <w:ind w:left="360"/>
      </w:pPr>
    </w:p>
    <w:p w:rsidR="00371E71" w:rsidRDefault="00371E71" w:rsidP="00371E71">
      <w:pPr>
        <w:jc w:val="center"/>
        <w:rPr>
          <w:rFonts w:eastAsia="Times New Roman"/>
        </w:rPr>
      </w:pPr>
      <w:r>
        <w:rPr>
          <w:rFonts w:eastAsia="Times New Roman"/>
        </w:rPr>
        <w:t>MEMORANDUM</w:t>
      </w:r>
    </w:p>
    <w:p w:rsidR="00371E71" w:rsidRDefault="00371E71" w:rsidP="00371E71">
      <w:pPr>
        <w:rPr>
          <w:rFonts w:eastAsia="Times New Roman"/>
        </w:rPr>
      </w:pPr>
      <w:r>
        <w:rPr>
          <w:rFonts w:eastAsia="Times New Roman"/>
        </w:rPr>
        <w:t>Date: June 25, 2018</w:t>
      </w:r>
    </w:p>
    <w:p w:rsidR="00371E71" w:rsidRDefault="00371E71" w:rsidP="00371E71">
      <w:pPr>
        <w:rPr>
          <w:rFonts w:eastAsia="Times New Roman"/>
        </w:rPr>
      </w:pPr>
      <w:r>
        <w:rPr>
          <w:rFonts w:eastAsia="Times New Roman"/>
        </w:rPr>
        <w:t>To: Faculty Senate and the Vice President for Academic Affairs</w:t>
      </w:r>
    </w:p>
    <w:p w:rsidR="00371E71" w:rsidRDefault="00371E71" w:rsidP="00371E71">
      <w:pPr>
        <w:rPr>
          <w:rFonts w:eastAsia="Times New Roman"/>
        </w:rPr>
      </w:pPr>
      <w:r>
        <w:rPr>
          <w:rFonts w:eastAsia="Times New Roman"/>
        </w:rPr>
        <w:t>From: Committee on Adjunct Support, Wesley Duke (Chair)</w:t>
      </w:r>
    </w:p>
    <w:p w:rsidR="00371E71" w:rsidRDefault="00371E71" w:rsidP="00371E71">
      <w:pPr>
        <w:rPr>
          <w:rFonts w:eastAsia="Times New Roman"/>
        </w:rPr>
      </w:pPr>
      <w:r>
        <w:rPr>
          <w:rFonts w:eastAsia="Times New Roman"/>
        </w:rPr>
        <w:t>Re: Recommendations for Changes</w:t>
      </w:r>
    </w:p>
    <w:p w:rsidR="00371E71" w:rsidRDefault="00371E71" w:rsidP="00371E71">
      <w:pPr>
        <w:rPr>
          <w:rFonts w:eastAsia="Times New Roman"/>
        </w:rPr>
      </w:pPr>
    </w:p>
    <w:p w:rsidR="00371E71" w:rsidRDefault="00371E71" w:rsidP="00371E71">
      <w:pPr>
        <w:rPr>
          <w:rFonts w:eastAsia="Times New Roman"/>
        </w:rPr>
      </w:pPr>
      <w:r>
        <w:rPr>
          <w:rFonts w:eastAsia="Times New Roman"/>
        </w:rPr>
        <w:t>Arkansas Tech University’s 2016 Strategic Plan specifically states a goal of “oneness where the relations, actions, and connections of the university’s human core develop, cohere, and flourish.” Adjunct faculty are an important part of that human core. In addition, adjunct faculty are often professionals from the local community, and thus play a central role in the strategic plan’s goal of connecting Tech to the larger community. In order to better support adjunct faculty working at Arkansas Tech University and in support of the strategic plan of the university, the committee therefore proposes that the following changes be implemented by the university:</w:t>
      </w:r>
    </w:p>
    <w:p w:rsidR="00371E71" w:rsidRDefault="00371E71" w:rsidP="00371E71">
      <w:pPr>
        <w:rPr>
          <w:rFonts w:eastAsia="Times New Roman"/>
        </w:rPr>
      </w:pPr>
      <w:r>
        <w:rPr>
          <w:rFonts w:eastAsia="Times New Roman"/>
          <w:b/>
        </w:rPr>
        <w:t>Compensation:</w:t>
      </w:r>
    </w:p>
    <w:p w:rsidR="00371E71" w:rsidRDefault="00371E71" w:rsidP="00371E71">
      <w:pPr>
        <w:ind w:left="720"/>
        <w:rPr>
          <w:rFonts w:eastAsia="Times New Roman"/>
        </w:rPr>
      </w:pPr>
      <w:r>
        <w:rPr>
          <w:rFonts w:eastAsia="Times New Roman"/>
        </w:rPr>
        <w:t>We advocate for a per semester credit hour increase in salary for adjuncts. This is in line with the strategic plan’s goal to “work toward fair compensation” for faculty as noted in Goal 1, Action Item 2. The Adjunct Support Committee does not recommend any variation in pay based on education, experience, department, or teaching platform.</w:t>
      </w:r>
    </w:p>
    <w:p w:rsidR="00371E71" w:rsidRDefault="00371E71" w:rsidP="00371E71">
      <w:pPr>
        <w:ind w:left="720"/>
        <w:rPr>
          <w:rFonts w:eastAsia="Times New Roman"/>
        </w:rPr>
      </w:pPr>
      <w:r>
        <w:rPr>
          <w:rFonts w:eastAsia="Times New Roman"/>
        </w:rPr>
        <w:t>Additionally, the Adjunct Support Committee recommends evaluating the contract and payroll distribution dates for Adjunct Faculty. The current payment schedule provides the first payment for Fall semester at the end of September and the first payment for Spring semester at the end of February. This poses a significant financial hardship for many adjuncts who must teach for over a month each semester before they receive any compensation.</w:t>
      </w:r>
    </w:p>
    <w:p w:rsidR="00371E71" w:rsidRDefault="00371E71" w:rsidP="00371E71">
      <w:pPr>
        <w:rPr>
          <w:rFonts w:eastAsia="Times New Roman"/>
        </w:rPr>
      </w:pPr>
      <w:r>
        <w:rPr>
          <w:rFonts w:eastAsia="Times New Roman"/>
          <w:b/>
        </w:rPr>
        <w:t>Tuition Discounts:</w:t>
      </w:r>
    </w:p>
    <w:p w:rsidR="00371E71" w:rsidRDefault="00371E71" w:rsidP="00371E71">
      <w:pPr>
        <w:ind w:left="720"/>
        <w:rPr>
          <w:rFonts w:eastAsia="Times New Roman"/>
        </w:rPr>
      </w:pPr>
      <w:r>
        <w:rPr>
          <w:rFonts w:eastAsia="Times New Roman"/>
        </w:rPr>
        <w:t>In order to enhance the ability of departments to hire and retain the highest quality faculty, the Adjunct Support Committee recommends that adjunct faculty qualify for tuition discounts. Discounts for adjunct faculty teaching a minimum of six semester credit hours, with the approval of the Department Head and College Dean, would be a cost effective way to further the goals of both professional development and fair compensation.</w:t>
      </w:r>
    </w:p>
    <w:p w:rsidR="00371E71" w:rsidRDefault="00371E71" w:rsidP="00371E71">
      <w:pPr>
        <w:rPr>
          <w:rFonts w:eastAsia="Times New Roman"/>
        </w:rPr>
      </w:pPr>
      <w:r>
        <w:rPr>
          <w:rFonts w:eastAsia="Times New Roman"/>
          <w:b/>
        </w:rPr>
        <w:t>Inclusion:</w:t>
      </w:r>
    </w:p>
    <w:p w:rsidR="00371E71" w:rsidRDefault="00371E71" w:rsidP="00371E71">
      <w:pPr>
        <w:ind w:left="720"/>
        <w:rPr>
          <w:rFonts w:eastAsia="Times New Roman"/>
        </w:rPr>
      </w:pPr>
      <w:r>
        <w:rPr>
          <w:rFonts w:eastAsia="Times New Roman"/>
        </w:rPr>
        <w:lastRenderedPageBreak/>
        <w:t>In keeping with the current goal of the University to encourage and build a culture and structure of shared governance, we recommend that adjunct faculty be included in the new structure of shared faculty governance by being given the opportunity to serve on committees and sub-committees.</w:t>
      </w:r>
    </w:p>
    <w:p w:rsidR="00371E71" w:rsidRDefault="00371E71" w:rsidP="00371E71">
      <w:pPr>
        <w:rPr>
          <w:rFonts w:eastAsia="Times New Roman"/>
        </w:rPr>
      </w:pPr>
      <w:r>
        <w:rPr>
          <w:rFonts w:eastAsia="Times New Roman"/>
          <w:b/>
        </w:rPr>
        <w:t xml:space="preserve">Health &amp; Benefits: </w:t>
      </w:r>
    </w:p>
    <w:p w:rsidR="00371E71" w:rsidRDefault="00371E71" w:rsidP="00371E71">
      <w:pPr>
        <w:ind w:left="720"/>
        <w:rPr>
          <w:rFonts w:eastAsia="Times New Roman"/>
        </w:rPr>
      </w:pPr>
      <w:r>
        <w:rPr>
          <w:rFonts w:eastAsia="Times New Roman"/>
        </w:rPr>
        <w:t>The Adjunct Support Committee recommends that the health and benefits currently offered to Adjunct faculty be evaluated to identify areas of improvement. The committee recommends exploring alternatives to a health plan, such as access to basic student benefits (ex, flu shots, health screenings, etc).</w:t>
      </w: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Default="00371E71" w:rsidP="00371E71">
      <w:pPr>
        <w:spacing w:after="0" w:line="240" w:lineRule="auto"/>
        <w:ind w:left="360"/>
      </w:pPr>
    </w:p>
    <w:p w:rsidR="00371E71" w:rsidRPr="002F2772" w:rsidRDefault="00371E71" w:rsidP="00371E71">
      <w:pPr>
        <w:spacing w:after="0" w:line="240" w:lineRule="auto"/>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371E71" w:rsidRDefault="00371E71" w:rsidP="00371E71">
      <w:pPr>
        <w:pStyle w:val="ListParagraph"/>
        <w:spacing w:after="0" w:line="240" w:lineRule="auto"/>
        <w:ind w:left="0"/>
      </w:pPr>
    </w:p>
    <w:p w:rsidR="00223849" w:rsidRDefault="00223849" w:rsidP="00371E71">
      <w:pPr>
        <w:pStyle w:val="ListParagraph"/>
        <w:numPr>
          <w:ilvl w:val="0"/>
          <w:numId w:val="3"/>
        </w:numPr>
        <w:spacing w:after="0" w:line="240" w:lineRule="auto"/>
      </w:pPr>
      <w:r>
        <w:lastRenderedPageBreak/>
        <w:t>CETL Advisory Board Standing Committee</w:t>
      </w:r>
    </w:p>
    <w:p w:rsidR="00223849" w:rsidRDefault="00223849" w:rsidP="0007119A">
      <w:pPr>
        <w:pStyle w:val="ListParagraph"/>
        <w:spacing w:after="0" w:line="240" w:lineRule="auto"/>
        <w:ind w:left="0"/>
      </w:pPr>
    </w:p>
    <w:p w:rsidR="00223849" w:rsidRDefault="00223849" w:rsidP="00223849">
      <w:pPr>
        <w:spacing w:after="0" w:line="240" w:lineRule="auto"/>
        <w:ind w:left="360"/>
      </w:pPr>
    </w:p>
    <w:p w:rsidR="00223849" w:rsidRPr="00223849" w:rsidRDefault="00223849" w:rsidP="00223849">
      <w:pPr>
        <w:shd w:val="clear" w:color="auto" w:fill="FFFFFF"/>
        <w:spacing w:after="0" w:line="240" w:lineRule="auto"/>
      </w:pPr>
      <w:r w:rsidRPr="00223849">
        <w:t>Center for Excellence in Teaching and Learning (CETL) Advisory Board</w:t>
      </w:r>
    </w:p>
    <w:p w:rsidR="00223849" w:rsidRPr="00223849" w:rsidRDefault="00223849" w:rsidP="00223849">
      <w:pPr>
        <w:shd w:val="clear" w:color="auto" w:fill="FFFFFF"/>
        <w:spacing w:after="0" w:line="240" w:lineRule="auto"/>
      </w:pPr>
      <w:r w:rsidRPr="00223849">
        <w:t> </w:t>
      </w:r>
    </w:p>
    <w:p w:rsidR="00223849" w:rsidRPr="00223849" w:rsidRDefault="00223849" w:rsidP="00223849">
      <w:pPr>
        <w:shd w:val="clear" w:color="auto" w:fill="FFFFFF"/>
        <w:spacing w:after="0" w:line="240" w:lineRule="auto"/>
      </w:pPr>
      <w:r w:rsidRPr="00223849">
        <w:t>Membership:  Director of CETL who serves as chair (ex officio), one tenured faculty member elected from each college (including the supernumerary group), and two elected at-large faculty members (one tenured, one untenured). Elected faculty will serve staggered, three year terms. (Note: Initial terms are as follows:  Three years – Arts and Humanities, Business, and at-large tenured; Two years – Education, Engineering and Applied Sciences, and at-large untenured; One year – Natural and Health Sciences and Supernumerary).</w:t>
      </w:r>
    </w:p>
    <w:p w:rsidR="00223849" w:rsidRPr="00223849" w:rsidRDefault="00223849" w:rsidP="00223849">
      <w:pPr>
        <w:shd w:val="clear" w:color="auto" w:fill="FFFFFF"/>
        <w:spacing w:after="0" w:line="240" w:lineRule="auto"/>
      </w:pPr>
      <w:r w:rsidRPr="00223849">
        <w:t> </w:t>
      </w:r>
    </w:p>
    <w:p w:rsidR="00223849" w:rsidRPr="00223849" w:rsidRDefault="00223849" w:rsidP="00223849">
      <w:pPr>
        <w:shd w:val="clear" w:color="auto" w:fill="FFFFFF"/>
        <w:spacing w:after="0" w:line="240" w:lineRule="auto"/>
      </w:pPr>
      <w:r w:rsidRPr="00223849">
        <w:t>Function:  The purpose of the CETL Advisory Board is to provide faculty input and to help guide the continued development of the Center.  The Advisory Board will meet at least once per semester.</w:t>
      </w:r>
    </w:p>
    <w:p w:rsidR="00223849" w:rsidRPr="00223849" w:rsidRDefault="00223849" w:rsidP="00223849">
      <w:pPr>
        <w:shd w:val="clear" w:color="auto" w:fill="FFFFFF"/>
        <w:spacing w:after="0" w:line="240" w:lineRule="auto"/>
      </w:pPr>
      <w:r w:rsidRPr="00223849">
        <w:t> </w:t>
      </w:r>
    </w:p>
    <w:p w:rsidR="00223849" w:rsidRDefault="00223849"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07119A" w:rsidRDefault="0007119A" w:rsidP="00223849">
      <w:pPr>
        <w:spacing w:after="0" w:line="240" w:lineRule="auto"/>
        <w:ind w:left="360"/>
      </w:pPr>
    </w:p>
    <w:p w:rsidR="00371E71" w:rsidRDefault="00371E71" w:rsidP="00223849">
      <w:pPr>
        <w:spacing w:after="0" w:line="240" w:lineRule="auto"/>
        <w:ind w:left="360"/>
      </w:pPr>
    </w:p>
    <w:p w:rsidR="00371E71" w:rsidRDefault="00371E71" w:rsidP="00223849">
      <w:pPr>
        <w:spacing w:after="0" w:line="240" w:lineRule="auto"/>
        <w:ind w:left="360"/>
      </w:pPr>
    </w:p>
    <w:p w:rsidR="00371E71" w:rsidRDefault="00371E71" w:rsidP="00223849">
      <w:pPr>
        <w:spacing w:after="0" w:line="240" w:lineRule="auto"/>
        <w:ind w:left="360"/>
      </w:pPr>
    </w:p>
    <w:p w:rsidR="00371E71" w:rsidRDefault="00371E71" w:rsidP="00223849">
      <w:pPr>
        <w:spacing w:after="0" w:line="240" w:lineRule="auto"/>
        <w:ind w:left="360"/>
      </w:pPr>
    </w:p>
    <w:p w:rsidR="00371E71" w:rsidRDefault="00371E71" w:rsidP="00223849">
      <w:pPr>
        <w:spacing w:after="0" w:line="240" w:lineRule="auto"/>
        <w:ind w:left="360"/>
      </w:pPr>
    </w:p>
    <w:p w:rsidR="00371E71" w:rsidRDefault="00371E71" w:rsidP="00223849">
      <w:pPr>
        <w:spacing w:after="0" w:line="240" w:lineRule="auto"/>
        <w:ind w:left="360"/>
      </w:pPr>
    </w:p>
    <w:p w:rsidR="00371E71" w:rsidRDefault="00371E71" w:rsidP="00223849">
      <w:pPr>
        <w:spacing w:after="0" w:line="240" w:lineRule="auto"/>
        <w:ind w:left="360"/>
      </w:pPr>
    </w:p>
    <w:p w:rsidR="00371E71" w:rsidRDefault="00371E71" w:rsidP="00223849">
      <w:pPr>
        <w:spacing w:after="0" w:line="240" w:lineRule="auto"/>
        <w:ind w:left="360"/>
      </w:pPr>
    </w:p>
    <w:p w:rsidR="00371E71" w:rsidRDefault="00371E71" w:rsidP="00223849">
      <w:pPr>
        <w:spacing w:after="0" w:line="240" w:lineRule="auto"/>
        <w:ind w:left="360"/>
      </w:pPr>
    </w:p>
    <w:sectPr w:rsidR="00371E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A3" w:rsidRDefault="003273A3" w:rsidP="00B51D15">
      <w:pPr>
        <w:spacing w:after="0" w:line="240" w:lineRule="auto"/>
      </w:pPr>
      <w:r>
        <w:separator/>
      </w:r>
    </w:p>
  </w:endnote>
  <w:endnote w:type="continuationSeparator" w:id="0">
    <w:p w:rsidR="003273A3" w:rsidRDefault="003273A3" w:rsidP="00B5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16953"/>
      <w:docPartObj>
        <w:docPartGallery w:val="Page Numbers (Bottom of Page)"/>
        <w:docPartUnique/>
      </w:docPartObj>
    </w:sdtPr>
    <w:sdtEndPr>
      <w:rPr>
        <w:noProof/>
      </w:rPr>
    </w:sdtEndPr>
    <w:sdtContent>
      <w:p w:rsidR="00B51D15" w:rsidRDefault="00B51D15">
        <w:pPr>
          <w:pStyle w:val="Footer"/>
          <w:jc w:val="right"/>
        </w:pPr>
        <w:r>
          <w:fldChar w:fldCharType="begin"/>
        </w:r>
        <w:r>
          <w:instrText xml:space="preserve"> PAGE   \* MERGEFORMAT </w:instrText>
        </w:r>
        <w:r>
          <w:fldChar w:fldCharType="separate"/>
        </w:r>
        <w:r w:rsidR="00117ACF">
          <w:rPr>
            <w:noProof/>
          </w:rPr>
          <w:t>2</w:t>
        </w:r>
        <w:r>
          <w:rPr>
            <w:noProof/>
          </w:rPr>
          <w:fldChar w:fldCharType="end"/>
        </w:r>
      </w:p>
    </w:sdtContent>
  </w:sdt>
  <w:p w:rsidR="00B51D15" w:rsidRDefault="00B51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A3" w:rsidRDefault="003273A3" w:rsidP="00B51D15">
      <w:pPr>
        <w:spacing w:after="0" w:line="240" w:lineRule="auto"/>
      </w:pPr>
      <w:r>
        <w:separator/>
      </w:r>
    </w:p>
  </w:footnote>
  <w:footnote w:type="continuationSeparator" w:id="0">
    <w:p w:rsidR="003273A3" w:rsidRDefault="003273A3" w:rsidP="00B51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D3"/>
    <w:multiLevelType w:val="hybridMultilevel"/>
    <w:tmpl w:val="298EB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502BC"/>
    <w:multiLevelType w:val="hybridMultilevel"/>
    <w:tmpl w:val="30708658"/>
    <w:lvl w:ilvl="0" w:tplc="55D06424">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E4A4E"/>
    <w:multiLevelType w:val="hybridMultilevel"/>
    <w:tmpl w:val="C3C4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72"/>
    <w:rsid w:val="0007119A"/>
    <w:rsid w:val="00117ACF"/>
    <w:rsid w:val="001E417C"/>
    <w:rsid w:val="00206D0E"/>
    <w:rsid w:val="00223849"/>
    <w:rsid w:val="002F2772"/>
    <w:rsid w:val="003273A3"/>
    <w:rsid w:val="0033213C"/>
    <w:rsid w:val="00371E71"/>
    <w:rsid w:val="0064396E"/>
    <w:rsid w:val="00664B2C"/>
    <w:rsid w:val="00673B02"/>
    <w:rsid w:val="00764C84"/>
    <w:rsid w:val="00773B6C"/>
    <w:rsid w:val="007E2613"/>
    <w:rsid w:val="00B51D15"/>
    <w:rsid w:val="00C0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E5AC9-BA9C-4257-805C-05E03957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772"/>
    <w:pPr>
      <w:ind w:left="720"/>
      <w:contextualSpacing/>
    </w:pPr>
  </w:style>
  <w:style w:type="paragraph" w:styleId="Header">
    <w:name w:val="header"/>
    <w:basedOn w:val="Normal"/>
    <w:link w:val="HeaderChar"/>
    <w:uiPriority w:val="99"/>
    <w:unhideWhenUsed/>
    <w:rsid w:val="00B51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D15"/>
  </w:style>
  <w:style w:type="paragraph" w:styleId="Footer">
    <w:name w:val="footer"/>
    <w:basedOn w:val="Normal"/>
    <w:link w:val="FooterChar"/>
    <w:uiPriority w:val="99"/>
    <w:unhideWhenUsed/>
    <w:rsid w:val="00B51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6066">
      <w:bodyDiv w:val="1"/>
      <w:marLeft w:val="0"/>
      <w:marRight w:val="0"/>
      <w:marTop w:val="0"/>
      <w:marBottom w:val="0"/>
      <w:divBdr>
        <w:top w:val="none" w:sz="0" w:space="0" w:color="auto"/>
        <w:left w:val="none" w:sz="0" w:space="0" w:color="auto"/>
        <w:bottom w:val="none" w:sz="0" w:space="0" w:color="auto"/>
        <w:right w:val="none" w:sz="0" w:space="0" w:color="auto"/>
      </w:divBdr>
      <w:divsChild>
        <w:div w:id="1697654738">
          <w:marLeft w:val="0"/>
          <w:marRight w:val="0"/>
          <w:marTop w:val="0"/>
          <w:marBottom w:val="0"/>
          <w:divBdr>
            <w:top w:val="none" w:sz="0" w:space="0" w:color="auto"/>
            <w:left w:val="none" w:sz="0" w:space="0" w:color="auto"/>
            <w:bottom w:val="none" w:sz="0" w:space="0" w:color="auto"/>
            <w:right w:val="none" w:sz="0" w:space="0" w:color="auto"/>
          </w:divBdr>
        </w:div>
        <w:div w:id="629701520">
          <w:marLeft w:val="0"/>
          <w:marRight w:val="0"/>
          <w:marTop w:val="0"/>
          <w:marBottom w:val="0"/>
          <w:divBdr>
            <w:top w:val="none" w:sz="0" w:space="0" w:color="auto"/>
            <w:left w:val="none" w:sz="0" w:space="0" w:color="auto"/>
            <w:bottom w:val="none" w:sz="0" w:space="0" w:color="auto"/>
            <w:right w:val="none" w:sz="0" w:space="0" w:color="auto"/>
          </w:divBdr>
        </w:div>
        <w:div w:id="2001041123">
          <w:marLeft w:val="0"/>
          <w:marRight w:val="0"/>
          <w:marTop w:val="0"/>
          <w:marBottom w:val="0"/>
          <w:divBdr>
            <w:top w:val="none" w:sz="0" w:space="0" w:color="auto"/>
            <w:left w:val="none" w:sz="0" w:space="0" w:color="auto"/>
            <w:bottom w:val="none" w:sz="0" w:space="0" w:color="auto"/>
            <w:right w:val="none" w:sz="0" w:space="0" w:color="auto"/>
          </w:divBdr>
        </w:div>
        <w:div w:id="2088576287">
          <w:marLeft w:val="0"/>
          <w:marRight w:val="0"/>
          <w:marTop w:val="0"/>
          <w:marBottom w:val="0"/>
          <w:divBdr>
            <w:top w:val="none" w:sz="0" w:space="0" w:color="auto"/>
            <w:left w:val="none" w:sz="0" w:space="0" w:color="auto"/>
            <w:bottom w:val="none" w:sz="0" w:space="0" w:color="auto"/>
            <w:right w:val="none" w:sz="0" w:space="0" w:color="auto"/>
          </w:divBdr>
        </w:div>
        <w:div w:id="538279560">
          <w:marLeft w:val="0"/>
          <w:marRight w:val="0"/>
          <w:marTop w:val="0"/>
          <w:marBottom w:val="0"/>
          <w:divBdr>
            <w:top w:val="none" w:sz="0" w:space="0" w:color="auto"/>
            <w:left w:val="none" w:sz="0" w:space="0" w:color="auto"/>
            <w:bottom w:val="none" w:sz="0" w:space="0" w:color="auto"/>
            <w:right w:val="none" w:sz="0" w:space="0" w:color="auto"/>
          </w:divBdr>
        </w:div>
        <w:div w:id="1523665055">
          <w:marLeft w:val="0"/>
          <w:marRight w:val="0"/>
          <w:marTop w:val="0"/>
          <w:marBottom w:val="0"/>
          <w:divBdr>
            <w:top w:val="none" w:sz="0" w:space="0" w:color="auto"/>
            <w:left w:val="none" w:sz="0" w:space="0" w:color="auto"/>
            <w:bottom w:val="none" w:sz="0" w:space="0" w:color="auto"/>
            <w:right w:val="none" w:sz="0" w:space="0" w:color="auto"/>
          </w:divBdr>
        </w:div>
      </w:divsChild>
    </w:div>
    <w:div w:id="1356228356">
      <w:bodyDiv w:val="1"/>
      <w:marLeft w:val="0"/>
      <w:marRight w:val="0"/>
      <w:marTop w:val="0"/>
      <w:marBottom w:val="0"/>
      <w:divBdr>
        <w:top w:val="none" w:sz="0" w:space="0" w:color="auto"/>
        <w:left w:val="none" w:sz="0" w:space="0" w:color="auto"/>
        <w:bottom w:val="none" w:sz="0" w:space="0" w:color="auto"/>
        <w:right w:val="none" w:sz="0" w:space="0" w:color="auto"/>
      </w:divBdr>
      <w:divsChild>
        <w:div w:id="407507153">
          <w:marLeft w:val="0"/>
          <w:marRight w:val="0"/>
          <w:marTop w:val="0"/>
          <w:marBottom w:val="0"/>
          <w:divBdr>
            <w:top w:val="none" w:sz="0" w:space="0" w:color="auto"/>
            <w:left w:val="none" w:sz="0" w:space="0" w:color="auto"/>
            <w:bottom w:val="none" w:sz="0" w:space="0" w:color="auto"/>
            <w:right w:val="none" w:sz="0" w:space="0" w:color="auto"/>
          </w:divBdr>
        </w:div>
        <w:div w:id="691957442">
          <w:marLeft w:val="0"/>
          <w:marRight w:val="0"/>
          <w:marTop w:val="0"/>
          <w:marBottom w:val="0"/>
          <w:divBdr>
            <w:top w:val="none" w:sz="0" w:space="0" w:color="auto"/>
            <w:left w:val="none" w:sz="0" w:space="0" w:color="auto"/>
            <w:bottom w:val="none" w:sz="0" w:space="0" w:color="auto"/>
            <w:right w:val="none" w:sz="0" w:space="0" w:color="auto"/>
          </w:divBdr>
        </w:div>
        <w:div w:id="813718395">
          <w:marLeft w:val="0"/>
          <w:marRight w:val="0"/>
          <w:marTop w:val="0"/>
          <w:marBottom w:val="0"/>
          <w:divBdr>
            <w:top w:val="none" w:sz="0" w:space="0" w:color="auto"/>
            <w:left w:val="none" w:sz="0" w:space="0" w:color="auto"/>
            <w:bottom w:val="none" w:sz="0" w:space="0" w:color="auto"/>
            <w:right w:val="none" w:sz="0" w:space="0" w:color="auto"/>
          </w:divBdr>
        </w:div>
        <w:div w:id="692263101">
          <w:marLeft w:val="0"/>
          <w:marRight w:val="0"/>
          <w:marTop w:val="0"/>
          <w:marBottom w:val="0"/>
          <w:divBdr>
            <w:top w:val="none" w:sz="0" w:space="0" w:color="auto"/>
            <w:left w:val="none" w:sz="0" w:space="0" w:color="auto"/>
            <w:bottom w:val="none" w:sz="0" w:space="0" w:color="auto"/>
            <w:right w:val="none" w:sz="0" w:space="0" w:color="auto"/>
          </w:divBdr>
        </w:div>
        <w:div w:id="250547622">
          <w:marLeft w:val="0"/>
          <w:marRight w:val="0"/>
          <w:marTop w:val="0"/>
          <w:marBottom w:val="0"/>
          <w:divBdr>
            <w:top w:val="none" w:sz="0" w:space="0" w:color="auto"/>
            <w:left w:val="none" w:sz="0" w:space="0" w:color="auto"/>
            <w:bottom w:val="none" w:sz="0" w:space="0" w:color="auto"/>
            <w:right w:val="none" w:sz="0" w:space="0" w:color="auto"/>
          </w:divBdr>
        </w:div>
        <w:div w:id="38726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1085</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Johnette Moody</dc:creator>
  <cp:keywords/>
  <dc:description/>
  <cp:lastModifiedBy>Glen Bishop</cp:lastModifiedBy>
  <cp:revision>2</cp:revision>
  <dcterms:created xsi:type="dcterms:W3CDTF">2018-09-07T20:38:00Z</dcterms:created>
  <dcterms:modified xsi:type="dcterms:W3CDTF">2018-09-07T20:38:00Z</dcterms:modified>
</cp:coreProperties>
</file>